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2519"/>
        <w:gridCol w:w="1530"/>
        <w:gridCol w:w="3151"/>
        <w:gridCol w:w="272"/>
        <w:gridCol w:w="2752"/>
      </w:tblGrid>
      <w:tr w:rsidR="009F2D04" w:rsidRPr="009F2D04" w14:paraId="6788C569" w14:textId="77777777" w:rsidTr="005418B3">
        <w:trPr>
          <w:trHeight w:val="369"/>
        </w:trPr>
        <w:tc>
          <w:tcPr>
            <w:tcW w:w="3521" w:type="pct"/>
            <w:gridSpan w:val="3"/>
            <w:tcBorders>
              <w:bottom w:val="single" w:sz="4" w:space="0" w:color="auto"/>
            </w:tcBorders>
            <w:shd w:val="clear" w:color="auto" w:fill="auto"/>
            <w:vAlign w:val="center"/>
          </w:tcPr>
          <w:p w14:paraId="3D22E5DB" w14:textId="4E838268" w:rsidR="00F864B3" w:rsidRPr="009F2D04" w:rsidRDefault="00611DDF" w:rsidP="00A850C8">
            <w:pPr>
              <w:spacing w:before="60" w:after="60" w:line="22" w:lineRule="atLeast"/>
              <w:rPr>
                <w:rFonts w:ascii="Amasis MT Pro Light" w:hAnsi="Amasis MT Pro Light"/>
                <w:b/>
                <w:sz w:val="28"/>
                <w:szCs w:val="28"/>
              </w:rPr>
            </w:pPr>
            <w:r w:rsidRPr="00611DDF">
              <w:rPr>
                <w:rStyle w:val="fontstyle01"/>
                <w:rFonts w:ascii="Amasis MT Pro Light" w:hAnsi="Amasis MT Pro Light"/>
                <w:color w:val="auto"/>
                <w:sz w:val="28"/>
                <w:szCs w:val="28"/>
              </w:rPr>
              <w:t>Trends and Innovations in the Prospects of Distance Learning</w:t>
            </w:r>
          </w:p>
        </w:tc>
        <w:tc>
          <w:tcPr>
            <w:tcW w:w="133" w:type="pct"/>
            <w:shd w:val="clear" w:color="auto" w:fill="auto"/>
          </w:tcPr>
          <w:p w14:paraId="7ED8CCBC" w14:textId="33904145" w:rsidR="00F864B3" w:rsidRPr="009F2D04" w:rsidRDefault="00F864B3" w:rsidP="00A850C8">
            <w:pPr>
              <w:spacing w:before="30" w:after="0" w:line="22" w:lineRule="atLeast"/>
              <w:jc w:val="both"/>
              <w:rPr>
                <w:rFonts w:ascii="Amasis MT Pro Light" w:hAnsi="Amasis MT Pro Light"/>
                <w:b/>
                <w:sz w:val="21"/>
                <w:szCs w:val="21"/>
              </w:rPr>
            </w:pPr>
          </w:p>
        </w:tc>
        <w:tc>
          <w:tcPr>
            <w:tcW w:w="1346" w:type="pct"/>
            <w:shd w:val="clear" w:color="auto" w:fill="auto"/>
            <w:vAlign w:val="bottom"/>
          </w:tcPr>
          <w:p w14:paraId="0B34114F" w14:textId="0CD4FAA0" w:rsidR="002077A2" w:rsidRPr="00962B25" w:rsidRDefault="005418B3" w:rsidP="005418B3">
            <w:pPr>
              <w:spacing w:before="30" w:after="30" w:line="22" w:lineRule="atLeast"/>
              <w:jc w:val="right"/>
              <w:rPr>
                <w:rFonts w:ascii="Amasis MT Pro Light" w:hAnsi="Amasis MT Pro Light"/>
                <w:bCs/>
                <w:sz w:val="21"/>
                <w:szCs w:val="21"/>
                <w:lang w:val="da-DK"/>
              </w:rPr>
            </w:pPr>
            <w:r w:rsidRPr="005418B3">
              <w:rPr>
                <w:rFonts w:ascii="Amasis MT Pro Light" w:hAnsi="Amasis MT Pro Light"/>
                <w:bCs/>
                <w:sz w:val="21"/>
                <w:szCs w:val="21"/>
                <w:lang w:val="da-DK"/>
              </w:rPr>
              <w:t>Ghulam Muhammad</w:t>
            </w:r>
            <w:r>
              <w:rPr>
                <w:rFonts w:ascii="Amasis MT Pro Light" w:hAnsi="Amasis MT Pro Light"/>
                <w:bCs/>
                <w:sz w:val="21"/>
                <w:szCs w:val="21"/>
                <w:lang w:val="da-DK"/>
              </w:rPr>
              <w:t xml:space="preserve"> </w:t>
            </w:r>
            <w:r w:rsidR="00D27B81" w:rsidRPr="009F2D04">
              <w:rPr>
                <w:rFonts w:ascii="Amasis MT Pro Light" w:hAnsi="Amasis MT Pro Light"/>
                <w:bCs/>
                <w:sz w:val="21"/>
                <w:szCs w:val="21"/>
                <w:vertAlign w:val="superscript"/>
                <w:lang w:val="da-DK"/>
              </w:rPr>
              <w:t>1</w:t>
            </w:r>
          </w:p>
        </w:tc>
      </w:tr>
      <w:tr w:rsidR="009F2D04" w:rsidRPr="009F2D04" w14:paraId="296D2C0D" w14:textId="77777777" w:rsidTr="00CB514A">
        <w:trPr>
          <w:trHeight w:val="72"/>
        </w:trPr>
        <w:tc>
          <w:tcPr>
            <w:tcW w:w="5000" w:type="pct"/>
            <w:gridSpan w:val="5"/>
            <w:shd w:val="clear" w:color="auto" w:fill="auto"/>
          </w:tcPr>
          <w:p w14:paraId="10690EE5" w14:textId="26BECD5A" w:rsidR="00F864B3" w:rsidRPr="009F2D04" w:rsidRDefault="00F864B3" w:rsidP="00A850C8">
            <w:pPr>
              <w:spacing w:after="0" w:line="22" w:lineRule="atLeast"/>
              <w:jc w:val="both"/>
              <w:rPr>
                <w:rStyle w:val="fontstyle01"/>
                <w:rFonts w:ascii="Amasis MT Pro Light" w:hAnsi="Amasis MT Pro Light" w:cs="Open Sans Light"/>
                <w:b w:val="0"/>
                <w:bCs w:val="0"/>
                <w:i/>
                <w:iCs/>
                <w:color w:val="auto"/>
                <w:sz w:val="21"/>
                <w:szCs w:val="21"/>
                <w:vertAlign w:val="superscript"/>
              </w:rPr>
            </w:pPr>
          </w:p>
        </w:tc>
      </w:tr>
      <w:tr w:rsidR="009F2D04" w:rsidRPr="009F2D04" w14:paraId="0CC50EEA" w14:textId="77777777" w:rsidTr="00A23AC4">
        <w:tc>
          <w:tcPr>
            <w:tcW w:w="1232" w:type="pct"/>
            <w:shd w:val="clear" w:color="auto" w:fill="auto"/>
            <w:vAlign w:val="center"/>
          </w:tcPr>
          <w:p w14:paraId="46B72AD8" w14:textId="1A26A99C" w:rsidR="006965C4" w:rsidRPr="009F2D04" w:rsidRDefault="006965C4" w:rsidP="00A23AC4">
            <w:pPr>
              <w:spacing w:after="0" w:line="22" w:lineRule="atLeast"/>
              <w:ind w:left="-18"/>
              <w:rPr>
                <w:rFonts w:ascii="Amasis MT Pro Light" w:hAnsi="Amasis MT Pro Light"/>
                <w:sz w:val="21"/>
                <w:szCs w:val="21"/>
              </w:rPr>
            </w:pPr>
            <w:r w:rsidRPr="009F2D04">
              <w:rPr>
                <w:rFonts w:ascii="Amasis MT Pro Light" w:hAnsi="Amasis MT Pro Light"/>
                <w:b/>
                <w:bCs/>
                <w:sz w:val="21"/>
                <w:szCs w:val="21"/>
              </w:rPr>
              <w:t xml:space="preserve">Volume </w:t>
            </w:r>
            <w:r w:rsidR="00334746">
              <w:rPr>
                <w:rFonts w:ascii="Amasis MT Pro Light" w:hAnsi="Amasis MT Pro Light"/>
                <w:sz w:val="21"/>
                <w:szCs w:val="21"/>
              </w:rPr>
              <w:t>2</w:t>
            </w:r>
            <w:r w:rsidRPr="009F2D04">
              <w:rPr>
                <w:rFonts w:ascii="Amasis MT Pro Light" w:hAnsi="Amasis MT Pro Light"/>
                <w:sz w:val="21"/>
                <w:szCs w:val="21"/>
              </w:rPr>
              <w:t xml:space="preserve">, </w:t>
            </w:r>
            <w:r w:rsidRPr="009F2D04">
              <w:rPr>
                <w:rFonts w:ascii="Amasis MT Pro Light" w:hAnsi="Amasis MT Pro Light"/>
                <w:b/>
                <w:bCs/>
                <w:sz w:val="21"/>
                <w:szCs w:val="21"/>
              </w:rPr>
              <w:t>Issue</w:t>
            </w:r>
            <w:r w:rsidRPr="009F2D04">
              <w:rPr>
                <w:rFonts w:ascii="Amasis MT Pro Light" w:hAnsi="Amasis MT Pro Light"/>
                <w:sz w:val="21"/>
                <w:szCs w:val="21"/>
              </w:rPr>
              <w:t xml:space="preserve"> 1 (202</w:t>
            </w:r>
            <w:r w:rsidR="00334746">
              <w:rPr>
                <w:rFonts w:ascii="Amasis MT Pro Light" w:hAnsi="Amasis MT Pro Light"/>
                <w:sz w:val="21"/>
                <w:szCs w:val="21"/>
              </w:rPr>
              <w:t>3</w:t>
            </w:r>
            <w:r w:rsidRPr="009F2D04">
              <w:rPr>
                <w:rFonts w:ascii="Amasis MT Pro Light" w:hAnsi="Amasis MT Pro Light"/>
                <w:sz w:val="21"/>
                <w:szCs w:val="21"/>
              </w:rPr>
              <w:t>)</w:t>
            </w:r>
          </w:p>
        </w:tc>
        <w:tc>
          <w:tcPr>
            <w:tcW w:w="748" w:type="pct"/>
            <w:shd w:val="clear" w:color="auto" w:fill="auto"/>
            <w:vAlign w:val="center"/>
          </w:tcPr>
          <w:p w14:paraId="7BF37E6D" w14:textId="0E3AAAF2" w:rsidR="006965C4" w:rsidRPr="009F2D04" w:rsidRDefault="006965C4" w:rsidP="00B61CA1">
            <w:pPr>
              <w:spacing w:after="0" w:line="22" w:lineRule="atLeast"/>
              <w:jc w:val="center"/>
              <w:rPr>
                <w:rFonts w:ascii="Amasis MT Pro Light" w:hAnsi="Amasis MT Pro Light"/>
                <w:sz w:val="21"/>
                <w:szCs w:val="21"/>
              </w:rPr>
            </w:pPr>
            <w:r w:rsidRPr="009F2D04">
              <w:rPr>
                <w:rFonts w:ascii="Amasis MT Pro Light" w:hAnsi="Amasis MT Pro Light"/>
                <w:b/>
                <w:bCs/>
                <w:sz w:val="21"/>
                <w:szCs w:val="21"/>
              </w:rPr>
              <w:t>Pages:</w:t>
            </w:r>
            <w:r w:rsidRPr="009F2D04">
              <w:rPr>
                <w:rFonts w:ascii="Amasis MT Pro Light" w:hAnsi="Amasis MT Pro Light"/>
                <w:sz w:val="21"/>
                <w:szCs w:val="21"/>
              </w:rPr>
              <w:t xml:space="preserve"> </w:t>
            </w:r>
            <w:r w:rsidR="00486960">
              <w:rPr>
                <w:rFonts w:ascii="Amasis MT Pro Light" w:hAnsi="Amasis MT Pro Light"/>
                <w:sz w:val="21"/>
                <w:szCs w:val="21"/>
              </w:rPr>
              <w:t>4</w:t>
            </w:r>
            <w:r w:rsidR="00587B81">
              <w:rPr>
                <w:rFonts w:ascii="Amasis MT Pro Light" w:hAnsi="Amasis MT Pro Light"/>
                <w:sz w:val="21"/>
                <w:szCs w:val="21"/>
              </w:rPr>
              <w:t>1</w:t>
            </w:r>
            <w:r w:rsidRPr="009F2D04">
              <w:rPr>
                <w:rFonts w:ascii="Calibri Light" w:hAnsi="Calibri Light" w:cs="Calibri Light"/>
                <w:sz w:val="21"/>
                <w:szCs w:val="21"/>
              </w:rPr>
              <w:t>‒</w:t>
            </w:r>
            <w:r w:rsidR="004157A3">
              <w:rPr>
                <w:rFonts w:ascii="Calibri Light" w:hAnsi="Calibri Light" w:cs="Calibri Light"/>
                <w:sz w:val="21"/>
                <w:szCs w:val="21"/>
              </w:rPr>
              <w:t>5</w:t>
            </w:r>
            <w:r w:rsidR="00587B81">
              <w:rPr>
                <w:rFonts w:ascii="Calibri Light" w:hAnsi="Calibri Light" w:cs="Calibri Light"/>
                <w:sz w:val="21"/>
                <w:szCs w:val="21"/>
              </w:rPr>
              <w:t>3</w:t>
            </w:r>
          </w:p>
        </w:tc>
        <w:tc>
          <w:tcPr>
            <w:tcW w:w="1541" w:type="pct"/>
            <w:shd w:val="clear" w:color="auto" w:fill="auto"/>
            <w:vAlign w:val="center"/>
          </w:tcPr>
          <w:p w14:paraId="4F5B57A1" w14:textId="69D32A9C" w:rsidR="006965C4" w:rsidRPr="009F2D04" w:rsidRDefault="00443182" w:rsidP="00A23AC4">
            <w:pPr>
              <w:spacing w:after="0" w:line="22" w:lineRule="atLeast"/>
              <w:ind w:right="-108"/>
              <w:jc w:val="right"/>
              <w:rPr>
                <w:rFonts w:ascii="Amasis MT Pro Light" w:hAnsi="Amasis MT Pro Light"/>
                <w:sz w:val="21"/>
                <w:szCs w:val="21"/>
              </w:rPr>
            </w:pPr>
            <w:r w:rsidRPr="00443182">
              <w:rPr>
                <w:rFonts w:ascii="Amasis MT Pro Light" w:hAnsi="Amasis MT Pro Light"/>
                <w:b/>
                <w:bCs/>
                <w:sz w:val="21"/>
                <w:szCs w:val="21"/>
              </w:rPr>
              <w:t>DOI:</w:t>
            </w:r>
            <w:r w:rsidRPr="00443182">
              <w:rPr>
                <w:rFonts w:ascii="Amasis MT Pro Light" w:hAnsi="Amasis MT Pro Light"/>
                <w:sz w:val="21"/>
                <w:szCs w:val="21"/>
              </w:rPr>
              <w:t xml:space="preserve"> </w:t>
            </w:r>
            <w:r w:rsidR="005A2BF0">
              <w:rPr>
                <w:rFonts w:ascii="Amasis MT Pro Light" w:hAnsi="Amasis MT Pro Light"/>
                <w:kern w:val="0"/>
                <w:sz w:val="21"/>
                <w:szCs w:val="21"/>
                <w14:ligatures w14:val="none"/>
              </w:rPr>
              <w:t>10.62843/</w:t>
            </w:r>
            <w:proofErr w:type="spellStart"/>
            <w:r w:rsidR="005A2BF0">
              <w:rPr>
                <w:rFonts w:ascii="Amasis MT Pro Light" w:hAnsi="Amasis MT Pro Light"/>
                <w:kern w:val="0"/>
                <w:sz w:val="21"/>
                <w:szCs w:val="21"/>
                <w14:ligatures w14:val="none"/>
              </w:rPr>
              <w:t>jefr</w:t>
            </w:r>
            <w:proofErr w:type="spellEnd"/>
            <w:r w:rsidR="005A2BF0">
              <w:rPr>
                <w:rFonts w:ascii="Amasis MT Pro Light" w:hAnsi="Amasis MT Pro Light"/>
                <w:kern w:val="0"/>
                <w:sz w:val="21"/>
                <w:szCs w:val="21"/>
                <w14:ligatures w14:val="none"/>
              </w:rPr>
              <w:t>/2023.</w:t>
            </w:r>
            <w:r w:rsidR="00725926">
              <w:rPr>
                <w:rFonts w:ascii="Amasis MT Pro Light" w:hAnsi="Amasis MT Pro Light"/>
                <w:kern w:val="0"/>
                <w:sz w:val="21"/>
                <w:szCs w:val="21"/>
                <w14:ligatures w14:val="none"/>
              </w:rPr>
              <w:t>51099</w:t>
            </w:r>
            <w:r w:rsidR="00D720F1">
              <w:rPr>
                <w:rFonts w:ascii="Amasis MT Pro Light" w:hAnsi="Amasis MT Pro Light"/>
                <w:kern w:val="0"/>
                <w:sz w:val="21"/>
                <w:szCs w:val="21"/>
                <w14:ligatures w14:val="none"/>
              </w:rPr>
              <w:t>10</w:t>
            </w:r>
          </w:p>
        </w:tc>
        <w:tc>
          <w:tcPr>
            <w:tcW w:w="1479" w:type="pct"/>
            <w:gridSpan w:val="2"/>
            <w:shd w:val="clear" w:color="auto" w:fill="FFFFFF" w:themeFill="background1"/>
          </w:tcPr>
          <w:p w14:paraId="5E3E07FB" w14:textId="608015B1" w:rsidR="006965C4" w:rsidRPr="009F2D04" w:rsidRDefault="006965C4" w:rsidP="00A850C8">
            <w:pPr>
              <w:spacing w:after="0" w:line="22" w:lineRule="atLeast"/>
              <w:jc w:val="both"/>
              <w:rPr>
                <w:rFonts w:ascii="Amasis MT Pro Light" w:hAnsi="Amasis MT Pro Light"/>
                <w:sz w:val="21"/>
                <w:szCs w:val="21"/>
              </w:rPr>
            </w:pPr>
          </w:p>
        </w:tc>
      </w:tr>
      <w:tr w:rsidR="009F2D04" w:rsidRPr="009F2D04" w14:paraId="3347A89B" w14:textId="77777777" w:rsidTr="00037123">
        <w:tc>
          <w:tcPr>
            <w:tcW w:w="5000" w:type="pct"/>
            <w:gridSpan w:val="5"/>
            <w:tcBorders>
              <w:bottom w:val="single" w:sz="4" w:space="0" w:color="auto"/>
            </w:tcBorders>
          </w:tcPr>
          <w:p w14:paraId="0C7D0579" w14:textId="77777777" w:rsidR="002A5E26" w:rsidRPr="009F2D04" w:rsidRDefault="002A5E26" w:rsidP="00A850C8">
            <w:pPr>
              <w:spacing w:after="0" w:line="22" w:lineRule="atLeast"/>
              <w:jc w:val="both"/>
              <w:rPr>
                <w:rFonts w:ascii="Amasis MT Pro Light" w:hAnsi="Amasis MT Pro Light"/>
                <w:b/>
                <w:bCs/>
                <w:sz w:val="21"/>
                <w:szCs w:val="21"/>
              </w:rPr>
            </w:pPr>
          </w:p>
        </w:tc>
      </w:tr>
      <w:tr w:rsidR="009F2D04" w:rsidRPr="009F2D04" w14:paraId="0710859B" w14:textId="77777777" w:rsidTr="005A1DAA">
        <w:trPr>
          <w:trHeight w:val="1736"/>
        </w:trPr>
        <w:tc>
          <w:tcPr>
            <w:tcW w:w="5000" w:type="pct"/>
            <w:gridSpan w:val="5"/>
            <w:tcBorders>
              <w:top w:val="single" w:sz="4" w:space="0" w:color="auto"/>
            </w:tcBorders>
            <w:shd w:val="clear" w:color="auto" w:fill="auto"/>
          </w:tcPr>
          <w:p w14:paraId="564A9A5B" w14:textId="7361CC6F" w:rsidR="00CB514A" w:rsidRPr="009F2D04" w:rsidRDefault="00CB514A" w:rsidP="008443AA">
            <w:pPr>
              <w:spacing w:before="60" w:after="60" w:line="22" w:lineRule="atLeast"/>
              <w:jc w:val="both"/>
              <w:rPr>
                <w:rFonts w:ascii="Amasis MT Pro Light" w:eastAsia="DengXian Light" w:hAnsi="Amasis MT Pro Light"/>
                <w:sz w:val="21"/>
                <w:szCs w:val="21"/>
              </w:rPr>
            </w:pPr>
            <w:r w:rsidRPr="009F2D04">
              <w:rPr>
                <w:rFonts w:ascii="Amasis MT Pro Light" w:eastAsia="Batang" w:hAnsi="Amasis MT Pro Light" w:cs="Open Sans"/>
                <w:b/>
                <w:bCs/>
                <w:sz w:val="21"/>
                <w:szCs w:val="21"/>
              </w:rPr>
              <w:t>Abstract:</w:t>
            </w:r>
            <w:r w:rsidRPr="009F2D04">
              <w:rPr>
                <w:rFonts w:ascii="Amasis MT Pro Light" w:eastAsia="Batang" w:hAnsi="Amasis MT Pro Light" w:cs="Quire Sans"/>
                <w:sz w:val="21"/>
                <w:szCs w:val="21"/>
              </w:rPr>
              <w:t xml:space="preserve"> </w:t>
            </w:r>
            <w:r w:rsidR="00F7084D" w:rsidRPr="00F7084D">
              <w:rPr>
                <w:rFonts w:ascii="Amasis MT Pro Light" w:eastAsia="Batang" w:hAnsi="Amasis MT Pro Light" w:cs="Open Sans Light"/>
                <w:i/>
                <w:iCs/>
                <w:sz w:val="21"/>
                <w:szCs w:val="21"/>
              </w:rPr>
              <w:t>The article explores the evolution of distance education, its historical evolution, and emerging trends. It highlights the importance of technological advancements, blended learning models, and pedagogical innovations. The article examines the integration of artificial intelligence, virtual reality, and augmented reality in online education, as well as the effectiveness of hybrid approaches and mobile learning. It also discusses personalized learning environments, adaptive technologies, assessment innovations, and professional development for distance educators. The article also addresses challenges related to equity, access, and technological limitations. Finally, the article looks toward the future, presenting predictions for the evolution of distance learning and anticipated advancements in technology and pedagogy. This comprehensive exploration contributes to the ongoing discourse on distance learning, offering valuable insights for educators, policymakers, and researchers navigating the dynamic landscape of contemporary education.</w:t>
            </w:r>
          </w:p>
        </w:tc>
      </w:tr>
      <w:tr w:rsidR="009F2D04" w:rsidRPr="009F2D04" w14:paraId="49962B82" w14:textId="77777777" w:rsidTr="00037123">
        <w:trPr>
          <w:trHeight w:val="54"/>
        </w:trPr>
        <w:tc>
          <w:tcPr>
            <w:tcW w:w="5000" w:type="pct"/>
            <w:gridSpan w:val="5"/>
          </w:tcPr>
          <w:p w14:paraId="397C4B47" w14:textId="77777777" w:rsidR="00CB514A" w:rsidRPr="009F2D04" w:rsidRDefault="00CB514A" w:rsidP="00A850C8">
            <w:pPr>
              <w:spacing w:after="0" w:line="22" w:lineRule="atLeast"/>
              <w:jc w:val="both"/>
              <w:rPr>
                <w:rFonts w:ascii="Amasis MT Pro Light" w:eastAsia="DengXian Light" w:hAnsi="Amasis MT Pro Light"/>
                <w:b/>
                <w:bCs/>
                <w:sz w:val="10"/>
                <w:szCs w:val="10"/>
              </w:rPr>
            </w:pPr>
          </w:p>
        </w:tc>
      </w:tr>
      <w:tr w:rsidR="009F2D04" w:rsidRPr="009F2D04" w14:paraId="03FB721D" w14:textId="77777777" w:rsidTr="00037123">
        <w:trPr>
          <w:trHeight w:val="207"/>
        </w:trPr>
        <w:tc>
          <w:tcPr>
            <w:tcW w:w="5000" w:type="pct"/>
            <w:gridSpan w:val="5"/>
            <w:tcBorders>
              <w:bottom w:val="single" w:sz="4" w:space="0" w:color="auto"/>
            </w:tcBorders>
            <w:vAlign w:val="center"/>
          </w:tcPr>
          <w:p w14:paraId="7A860F07" w14:textId="17A51CB9" w:rsidR="002A5E26" w:rsidRPr="009F2D04" w:rsidRDefault="002A5E26" w:rsidP="002A5E26">
            <w:pPr>
              <w:spacing w:before="60" w:after="60" w:line="22" w:lineRule="atLeast"/>
              <w:jc w:val="both"/>
              <w:rPr>
                <w:rFonts w:ascii="Amasis MT Pro Light" w:eastAsia="DengXian Light" w:hAnsi="Amasis MT Pro Light"/>
                <w:b/>
                <w:bCs/>
                <w:sz w:val="21"/>
                <w:szCs w:val="21"/>
              </w:rPr>
            </w:pPr>
            <w:r w:rsidRPr="009F2D04">
              <w:rPr>
                <w:rFonts w:ascii="Amasis MT Pro Light" w:eastAsia="DengXian Light" w:hAnsi="Amasis MT Pro Light" w:cs="Open Sans"/>
                <w:b/>
                <w:bCs/>
                <w:sz w:val="21"/>
                <w:szCs w:val="21"/>
              </w:rPr>
              <w:t>Keywords:</w:t>
            </w:r>
            <w:r w:rsidRPr="009F2D04">
              <w:rPr>
                <w:rFonts w:ascii="Amasis MT Pro Light" w:eastAsia="DengXian Light" w:hAnsi="Amasis MT Pro Light"/>
                <w:sz w:val="21"/>
                <w:szCs w:val="21"/>
              </w:rPr>
              <w:t xml:space="preserve"> </w:t>
            </w:r>
            <w:r w:rsidR="00445951" w:rsidRPr="00445951">
              <w:rPr>
                <w:rFonts w:ascii="Amasis MT Pro Light" w:eastAsia="DengXian Light" w:hAnsi="Amasis MT Pro Light" w:cs="Open Sans Light"/>
                <w:sz w:val="21"/>
                <w:szCs w:val="21"/>
              </w:rPr>
              <w:t>Distance Learning, Educational Technology, Blended Learning, Online Education, Virtual Reality, Artificial Intelligence, Pedagogical Innovations</w:t>
            </w:r>
          </w:p>
        </w:tc>
      </w:tr>
    </w:tbl>
    <w:p w14:paraId="48D73E69" w14:textId="77777777" w:rsidR="00917A69" w:rsidRDefault="00917A69" w:rsidP="00917A69">
      <w:pPr>
        <w:spacing w:after="0" w:line="240" w:lineRule="auto"/>
        <w:jc w:val="both"/>
        <w:rPr>
          <w:rFonts w:ascii="Amasis MT Pro Light" w:hAnsi="Amasis MT Pro Light"/>
          <w:b/>
          <w:bCs/>
          <w:sz w:val="24"/>
          <w:szCs w:val="24"/>
        </w:rPr>
      </w:pPr>
    </w:p>
    <w:p w14:paraId="5C1833CB" w14:textId="700D49DB" w:rsidR="009F2D04" w:rsidRPr="00225445" w:rsidRDefault="009F2D04" w:rsidP="00AE11E2">
      <w:pPr>
        <w:spacing w:after="60" w:line="276" w:lineRule="auto"/>
        <w:jc w:val="both"/>
        <w:rPr>
          <w:rFonts w:ascii="Amasis MT Pro Light" w:hAnsi="Amasis MT Pro Light"/>
          <w:b/>
          <w:bCs/>
          <w:sz w:val="24"/>
          <w:szCs w:val="24"/>
        </w:rPr>
      </w:pPr>
      <w:r w:rsidRPr="00225445">
        <w:rPr>
          <w:rFonts w:ascii="Amasis MT Pro Light" w:hAnsi="Amasis MT Pro Light"/>
          <w:b/>
          <w:bCs/>
          <w:sz w:val="24"/>
          <w:szCs w:val="24"/>
        </w:rPr>
        <w:t>Introduction</w:t>
      </w:r>
    </w:p>
    <w:p w14:paraId="7EE7FDA2" w14:textId="31467D5E" w:rsidR="000F1F8C" w:rsidRPr="00B82202" w:rsidRDefault="000F1F8C" w:rsidP="000F1F8C">
      <w:pPr>
        <w:pStyle w:val="1st"/>
      </w:pPr>
      <w:r w:rsidRPr="000F1F8C">
        <w:t xml:space="preserve">The </w:t>
      </w:r>
      <w:r w:rsidRPr="00B82202">
        <w:t>background and context of distance learning trace back to the early 19th century, with the concept evolving over time in response to societal, technological, and educational advancements. The roots of distance learning can be found in correspondence courses, where students exchange printed materials with instructors through mail. However, it was the advent of radio and television in the 20th century that brought about significant changes, allowing for the delivery of educational content to a broader audience.</w:t>
      </w:r>
    </w:p>
    <w:p w14:paraId="2D267A01" w14:textId="77777777" w:rsidR="000F1F8C" w:rsidRPr="00B82202" w:rsidRDefault="000F1F8C" w:rsidP="000F1F8C">
      <w:pPr>
        <w:pStyle w:val="2nd"/>
      </w:pPr>
      <w:r w:rsidRPr="00B82202">
        <w:t>The growth of distance learning continued with the proliferation of the internet and digital technologies. The emergence of online platforms, e-learning systems, and multimedia resources transformed the landscape, providing learners with unprecedented access to educational content irrespective of geographical constraints. The shift towards distance learning gained momentum, particularly in the latter part of the 20th century and accelerated in the 21st century, driven by the convergence of global connectivity and innovative learning tools.</w:t>
      </w:r>
    </w:p>
    <w:p w14:paraId="3BC82113" w14:textId="77777777" w:rsidR="000F1F8C" w:rsidRPr="00B82202" w:rsidRDefault="000F1F8C" w:rsidP="000F1F8C">
      <w:pPr>
        <w:pStyle w:val="2nd"/>
      </w:pPr>
      <w:r w:rsidRPr="00B82202">
        <w:t>The context of distance learning is deeply intertwined with the need for flexible and accessible education. It addresses challenges such as geographic remoteness, time constraints, and the increasing demand for lifelong learning. Moreover, the recent global events, including the COVID-19 pandemic, underscored the resilience of distance learning as an alternative and complementary mode of education.</w:t>
      </w:r>
    </w:p>
    <w:p w14:paraId="13D63D0D" w14:textId="77777777" w:rsidR="000F1F8C" w:rsidRPr="00B82202" w:rsidRDefault="000F1F8C" w:rsidP="000F1F8C">
      <w:pPr>
        <w:pStyle w:val="2nd"/>
      </w:pPr>
      <w:r w:rsidRPr="00B82202">
        <w:t xml:space="preserve">Distance learning has become a mainstream educational approach, offering diverse opportunities for learners to pursue formal education, professional development, and skill enhancement. It caters to a wide spectrum of learners, including traditional students, working professionals, and individuals with varying learning needs. The </w:t>
      </w:r>
      <w:r w:rsidRPr="00B82202">
        <w:lastRenderedPageBreak/>
        <w:t>dynamic interplay of technology, pedagogy, and changing educational paradigms continues to shape the background and context of distance learning, positioning it as a vital component of contemporary education.</w:t>
      </w:r>
    </w:p>
    <w:p w14:paraId="5FE1AB53" w14:textId="77777777" w:rsidR="000F1F8C" w:rsidRPr="00B82202" w:rsidRDefault="000F1F8C" w:rsidP="000F1F8C">
      <w:pPr>
        <w:pStyle w:val="2nd"/>
      </w:pPr>
      <w:r w:rsidRPr="00B82202">
        <w:t>In the landscape of contemporary education, distance learning has emerged as a transformative force, offering unprecedented opportunities and addressing the evolving needs of diverse learners. The significance of distance learning extends beyond geographical boundaries, providing access to education for individuals who may face constraints in attending traditional brick-and-mortar institutions. This mode of learning has become increasingly relevant in the 21st century, driven by technological advancements, changing societal dynamics, and a growing demand for flexible and accessible education.</w:t>
      </w:r>
    </w:p>
    <w:p w14:paraId="1C687A7B" w14:textId="784451CB" w:rsidR="000F1F8C" w:rsidRPr="00B82202" w:rsidRDefault="000F1F8C" w:rsidP="000F1F8C">
      <w:pPr>
        <w:pStyle w:val="2nd"/>
      </w:pPr>
      <w:r w:rsidRPr="00B82202">
        <w:t xml:space="preserve">One of the most significant contributions of distance learning is its role in democratizing education. It breaks down barriers to access, enabling individuals from remote or underserved areas to pursue academic and professional development. Whether residing in rural regions or urban </w:t>
      </w:r>
      <w:proofErr w:type="spellStart"/>
      <w:r w:rsidR="00B541C4" w:rsidRPr="00B82202">
        <w:t>centres</w:t>
      </w:r>
      <w:proofErr w:type="spellEnd"/>
      <w:r w:rsidRPr="00B82202">
        <w:t>, learners can access a myriad of courses and programs, fostering inclusivity in education. Distance learning is synonymous with flexibility. Learners can engage with educational content at their own pace and time, accommodating various schedules and life commitments. This flexibility is particularly beneficial for working professionals, parents, or individuals with diverse responsibilities, allowing them to seamlessly integrate learning into their daily lives.</w:t>
      </w:r>
    </w:p>
    <w:p w14:paraId="0C934308" w14:textId="77777777" w:rsidR="000F1F8C" w:rsidRPr="00B82202" w:rsidRDefault="000F1F8C" w:rsidP="000F1F8C">
      <w:pPr>
        <w:pStyle w:val="2nd"/>
      </w:pPr>
      <w:r w:rsidRPr="00B82202">
        <w:t>Contemporary education emphasizes the concept of lifelong learning, acknowledging that acquiring new skills and knowledge is a continual process. Distance learning facilitates this ethos by offering a variety of courses, certifications, and degree programs that cater to learners at different stages of their lives and careers. It promotes a culture of ongoing skill development and adaptability in response to the demands of the modern workforce.</w:t>
      </w:r>
    </w:p>
    <w:p w14:paraId="16E68D4F" w14:textId="77777777" w:rsidR="000F1F8C" w:rsidRPr="00B82202" w:rsidRDefault="000F1F8C" w:rsidP="000F1F8C">
      <w:pPr>
        <w:pStyle w:val="2nd"/>
      </w:pPr>
      <w:r w:rsidRPr="00B82202">
        <w:t>Distance learning leverages a diverse range of learning modalities, incorporating multimedia resources, interactive platforms, and collaborative tools. This diversity enriches the learning experience, catering to various learning styles and preferences. Video lectures, virtual simulations, and online discussions contribute to an engaging and dynamic educational environment.</w:t>
      </w:r>
    </w:p>
    <w:p w14:paraId="7B2A2BEE" w14:textId="77777777" w:rsidR="000F1F8C" w:rsidRPr="00B82202" w:rsidRDefault="000F1F8C" w:rsidP="000F1F8C">
      <w:pPr>
        <w:pStyle w:val="2nd"/>
      </w:pPr>
      <w:r w:rsidRPr="00B82202">
        <w:t>With the connectivity afforded by the internet, distance learning facilitates global collaborations and networking opportunities. Learners can engage with instructors and peers from different parts of the world, gaining diverse perspectives and insights. This global interconnectedness enhances the richness of the educational experience and prepares learners for an increasingly globalized world.</w:t>
      </w:r>
    </w:p>
    <w:p w14:paraId="4F4F2D1C" w14:textId="5620C8F5" w:rsidR="000F1F8C" w:rsidRPr="00B82202" w:rsidRDefault="000F1F8C" w:rsidP="000F1F8C">
      <w:pPr>
        <w:pStyle w:val="2nd"/>
      </w:pPr>
      <w:r w:rsidRPr="00B82202">
        <w:t>Advancements in technology have been instrumental in enhancing the effectiveness of distance learning. Learning management systems, virtual classrooms, and interactive simulations contribute to a seamless and immersive educational experience. Moreover, emerging technologies such as artificial intelligence and augmented reality are being integrated to further elevate the possibilities of distance learning. Distance learning often proves to be a cost-effective alternative to traditional education. Learners can save on commuting expenses, accommodation costs, and other associated expenditures. Institutions benefit from reduced infrastructure expenses, making education more accessible to a wider demographic without compromising quality.</w:t>
      </w:r>
    </w:p>
    <w:p w14:paraId="465B3F63" w14:textId="77777777" w:rsidR="000F1F8C" w:rsidRPr="00B82202" w:rsidRDefault="000F1F8C" w:rsidP="000F1F8C">
      <w:pPr>
        <w:pStyle w:val="2nd"/>
      </w:pPr>
      <w:r w:rsidRPr="00B82202">
        <w:t>Distance learning platforms often incorporate adaptive learning technologies that personalize educational content based on individual progress and performance. This tailored approach to learning ensures that each student receives instruction that aligns with their strengths, weaknesses, and preferred learning styles, promoting a more effective and efficient learning journey.</w:t>
      </w:r>
    </w:p>
    <w:p w14:paraId="2EAEBFBD" w14:textId="77777777" w:rsidR="000F1F8C" w:rsidRPr="00B82202" w:rsidRDefault="000F1F8C" w:rsidP="000F1F8C">
      <w:pPr>
        <w:pStyle w:val="2nd"/>
      </w:pPr>
      <w:r w:rsidRPr="00B82202">
        <w:t xml:space="preserve">The global events of the past few years, particularly the COVID-19 pandemic, underscored the resilience of distance learning. When traditional educational institutions faced closures and disruptions, distance learning </w:t>
      </w:r>
      <w:r w:rsidRPr="00B82202">
        <w:lastRenderedPageBreak/>
        <w:t>platforms continued to provide uninterrupted access to education. This crisis resilience highlights the adaptability and sustainability of distance learning in unpredictable circumstances.</w:t>
      </w:r>
    </w:p>
    <w:p w14:paraId="3F66E399" w14:textId="77777777" w:rsidR="000F1F8C" w:rsidRPr="00B82202" w:rsidRDefault="000F1F8C" w:rsidP="000F1F8C">
      <w:pPr>
        <w:pStyle w:val="2nd"/>
      </w:pPr>
      <w:r w:rsidRPr="00B82202">
        <w:t>Distance learning is characterized by its dynamic nature, constantly evolving to incorporate new methodologies, technologies, and pedagogical approaches. The field embraces innovation, experimenting with novel strategies to enhance engagement, collaboration, and learning outcomes. This commitment to continuous improvement positions distance learning at the forefront of educational innovation.</w:t>
      </w:r>
    </w:p>
    <w:p w14:paraId="5EE64AD0" w14:textId="77777777" w:rsidR="000F1F8C" w:rsidRPr="00B82202" w:rsidRDefault="000F1F8C" w:rsidP="000F1F8C">
      <w:pPr>
        <w:pStyle w:val="Last"/>
      </w:pPr>
      <w:r w:rsidRPr="00B82202">
        <w:t>In conclusion, the significance of distance learning in contemporary education cannot be overstated. It has evolved from being an alternative mode of education to becoming an integral component of the educational landscape. As technology continues to advance and societal needs evolve, distance learning will likely play an increasingly pivotal role in shaping the future of education, offering accessible, flexible, and innovative learning opportunities for learners around the globe.</w:t>
      </w:r>
    </w:p>
    <w:p w14:paraId="6ECD1ED8" w14:textId="77777777" w:rsidR="000F1F8C" w:rsidRPr="00B82202" w:rsidRDefault="000F1F8C" w:rsidP="000F1F8C">
      <w:pPr>
        <w:spacing w:after="0" w:line="276" w:lineRule="auto"/>
        <w:jc w:val="both"/>
        <w:rPr>
          <w:rFonts w:ascii="Amasis MT Pro Light" w:hAnsi="Amasis MT Pro Light"/>
        </w:rPr>
      </w:pPr>
    </w:p>
    <w:p w14:paraId="1017A728" w14:textId="316AF1DB" w:rsidR="000F1F8C" w:rsidRPr="00B82202" w:rsidRDefault="000F1F8C" w:rsidP="000F1F8C">
      <w:pPr>
        <w:pStyle w:val="Main"/>
      </w:pPr>
      <w:r w:rsidRPr="00B82202">
        <w:t>Literature Review</w:t>
      </w:r>
    </w:p>
    <w:p w14:paraId="76746120" w14:textId="77777777" w:rsidR="000F1F8C" w:rsidRPr="00B82202" w:rsidRDefault="000F1F8C" w:rsidP="000F1F8C">
      <w:pPr>
        <w:pStyle w:val="1st"/>
      </w:pPr>
      <w:r w:rsidRPr="00B82202">
        <w:t xml:space="preserve">The landscape of education has witnessed a paradigm shift with the advent of distance learning, a </w:t>
      </w:r>
      <w:proofErr w:type="spellStart"/>
      <w:r w:rsidRPr="00B82202">
        <w:t>mode</w:t>
      </w:r>
      <w:proofErr w:type="spellEnd"/>
      <w:r w:rsidRPr="00B82202">
        <w:t xml:space="preserve"> that transcends the constraints of traditional brick-and-mortar institutions. This literature review delves into existing research, providing insights into the trends and innovations that characterize the prospects of distance learning.</w:t>
      </w:r>
    </w:p>
    <w:p w14:paraId="052AB7AA" w14:textId="2E93CE6C" w:rsidR="000F1F8C" w:rsidRPr="00B82202" w:rsidRDefault="000F1F8C" w:rsidP="00EF3DE1">
      <w:pPr>
        <w:pStyle w:val="2nd"/>
      </w:pPr>
      <w:r w:rsidRPr="00B82202">
        <w:t xml:space="preserve">Distance learning has a rich historical evolution rooted in the mid-19th century when correspondence courses laid the foundation for remote education (Holmberg, </w:t>
      </w:r>
      <w:hyperlink w:anchor="Holmberg" w:history="1">
        <w:r w:rsidRPr="00B82202">
          <w:rPr>
            <w:rStyle w:val="Hyperlink"/>
            <w:color w:val="auto"/>
            <w:u w:val="none"/>
          </w:rPr>
          <w:t>1995</w:t>
        </w:r>
      </w:hyperlink>
      <w:r w:rsidRPr="00B82202">
        <w:t xml:space="preserve">). The model evolved with the integration of radio and television in the 20th century, reaching diverse learners (Cunningham, </w:t>
      </w:r>
      <w:hyperlink w:anchor="Cunningham" w:history="1">
        <w:r w:rsidRPr="00B82202">
          <w:rPr>
            <w:rStyle w:val="Hyperlink"/>
            <w:color w:val="auto"/>
            <w:u w:val="none"/>
          </w:rPr>
          <w:t>2017</w:t>
        </w:r>
      </w:hyperlink>
      <w:r w:rsidRPr="00B82202">
        <w:t xml:space="preserve">). Over time, technological advancements, particularly the internet, have propelled distance learning into a ubiquitous and transformative force in contemporary education (Pistone, </w:t>
      </w:r>
      <w:hyperlink w:anchor="Pistone" w:history="1">
        <w:r w:rsidRPr="00B82202">
          <w:rPr>
            <w:rStyle w:val="Hyperlink"/>
            <w:color w:val="auto"/>
            <w:u w:val="none"/>
          </w:rPr>
          <w:t>2015</w:t>
        </w:r>
      </w:hyperlink>
      <w:r w:rsidRPr="00B82202">
        <w:t>).</w:t>
      </w:r>
    </w:p>
    <w:p w14:paraId="2AE1DD4E" w14:textId="43799752" w:rsidR="000F1F8C" w:rsidRPr="00B82202" w:rsidRDefault="000F1F8C" w:rsidP="00EF3DE1">
      <w:pPr>
        <w:pStyle w:val="2nd"/>
      </w:pPr>
      <w:r w:rsidRPr="00B82202">
        <w:t xml:space="preserve">A seminal aspect of distance learning is its role in democratizing education by broadening access. Research emphasizes its ability to overcome geographical barriers, providing education to individuals in remote or underserved areas (Terry, </w:t>
      </w:r>
      <w:hyperlink w:anchor="Terry" w:history="1">
        <w:r w:rsidRPr="00B82202">
          <w:rPr>
            <w:rStyle w:val="Hyperlink"/>
            <w:color w:val="auto"/>
            <w:u w:val="none"/>
          </w:rPr>
          <w:t>2002</w:t>
        </w:r>
      </w:hyperlink>
      <w:r w:rsidRPr="00B82202">
        <w:t xml:space="preserve">). In a global context, distance learning addresses issues of educational inequality, fostering inclusivity and widening access to diverse populations (Clark, </w:t>
      </w:r>
      <w:hyperlink w:anchor="Clark" w:history="1">
        <w:r w:rsidRPr="00B82202">
          <w:rPr>
            <w:rStyle w:val="Hyperlink"/>
            <w:color w:val="auto"/>
            <w:u w:val="none"/>
          </w:rPr>
          <w:t>2020</w:t>
        </w:r>
      </w:hyperlink>
      <w:r w:rsidRPr="00B82202">
        <w:t>).</w:t>
      </w:r>
    </w:p>
    <w:p w14:paraId="4E0789B9" w14:textId="2D827836" w:rsidR="000F1F8C" w:rsidRPr="00B82202" w:rsidRDefault="000F1F8C" w:rsidP="00EF3DE1">
      <w:pPr>
        <w:pStyle w:val="2nd"/>
      </w:pPr>
      <w:r w:rsidRPr="00B82202">
        <w:t>The integration of advanced technologies has been pivotal in shaping the trajectory of distance learning. Virtual learning environments, learning management systems, and multimedia resources have become integral components (</w:t>
      </w:r>
      <w:r w:rsidRPr="00B82202">
        <w:rPr>
          <w:rFonts w:cs="Segoe UI"/>
        </w:rPr>
        <w:t xml:space="preserve">Swan, </w:t>
      </w:r>
      <w:hyperlink w:anchor="Swan" w:history="1">
        <w:r w:rsidRPr="00B82202">
          <w:rPr>
            <w:rStyle w:val="Hyperlink"/>
            <w:rFonts w:cs="Segoe UI"/>
            <w:color w:val="auto"/>
            <w:u w:val="none"/>
          </w:rPr>
          <w:t>2021</w:t>
        </w:r>
      </w:hyperlink>
      <w:r w:rsidRPr="00B82202">
        <w:rPr>
          <w:rFonts w:cs="Segoe UI"/>
        </w:rPr>
        <w:t xml:space="preserve">). </w:t>
      </w:r>
      <w:r w:rsidRPr="00B82202">
        <w:t xml:space="preserve">Emerging technologies like artificial intelligence contribute to personalized learning experiences, adapting content based on individual needs and preferences (Scigliano, </w:t>
      </w:r>
      <w:hyperlink w:anchor="Scigliano" w:history="1">
        <w:r w:rsidRPr="00B82202">
          <w:rPr>
            <w:rStyle w:val="Hyperlink"/>
            <w:color w:val="auto"/>
            <w:u w:val="none"/>
          </w:rPr>
          <w:t>2000</w:t>
        </w:r>
      </w:hyperlink>
      <w:r w:rsidRPr="00B82202">
        <w:t>).</w:t>
      </w:r>
    </w:p>
    <w:p w14:paraId="6D2238D4" w14:textId="7B886B13" w:rsidR="000F1F8C" w:rsidRPr="00B82202" w:rsidRDefault="000F1F8C" w:rsidP="00EF3DE1">
      <w:pPr>
        <w:pStyle w:val="2nd"/>
      </w:pPr>
      <w:r w:rsidRPr="00B82202">
        <w:t xml:space="preserve">Blended learning, combining face-to-face and online instruction, represents a prominent trend in distance education (Ayala, </w:t>
      </w:r>
      <w:hyperlink w:anchor="Ayala" w:history="1">
        <w:r w:rsidRPr="00B82202">
          <w:rPr>
            <w:rStyle w:val="Hyperlink"/>
            <w:color w:val="auto"/>
            <w:u w:val="none"/>
          </w:rPr>
          <w:t>2009</w:t>
        </w:r>
      </w:hyperlink>
      <w:r w:rsidRPr="00B82202">
        <w:t xml:space="preserve">). The research underscores the effectiveness of blending synchronous and asynchronous learning components, offering flexibility without compromising the benefits of in-person interaction (Donnelly, </w:t>
      </w:r>
      <w:hyperlink w:anchor="Donnelly" w:history="1">
        <w:r w:rsidRPr="00B82202">
          <w:rPr>
            <w:rStyle w:val="Hyperlink"/>
            <w:color w:val="auto"/>
            <w:u w:val="none"/>
          </w:rPr>
          <w:t>2010</w:t>
        </w:r>
      </w:hyperlink>
      <w:r w:rsidRPr="00B82202">
        <w:t>).</w:t>
      </w:r>
    </w:p>
    <w:p w14:paraId="5B1C192D" w14:textId="0B05BED9" w:rsidR="000F1F8C" w:rsidRPr="00B82202" w:rsidRDefault="000F1F8C" w:rsidP="00EF3DE1">
      <w:pPr>
        <w:pStyle w:val="2nd"/>
      </w:pPr>
      <w:r w:rsidRPr="00B82202">
        <w:t xml:space="preserve">Mobile learning has emerged as a powerful trend, aligning with the ubiquity of smartphones and tablets. Research indicates that m-learning enhances accessibility, allowing learners to engage with educational content anytime, anywhere (Criollo-C et al., </w:t>
      </w:r>
      <w:hyperlink w:anchor="Criollo" w:history="1">
        <w:r w:rsidRPr="00B82202">
          <w:rPr>
            <w:rStyle w:val="Hyperlink"/>
            <w:color w:val="auto"/>
            <w:u w:val="none"/>
          </w:rPr>
          <w:t>2021</w:t>
        </w:r>
      </w:hyperlink>
      <w:r w:rsidRPr="00B82202">
        <w:t xml:space="preserve">). Mobile applications and platforms facilitate </w:t>
      </w:r>
      <w:r w:rsidR="00B541C4" w:rsidRPr="00B82202">
        <w:t xml:space="preserve">the </w:t>
      </w:r>
      <w:r w:rsidRPr="00B82202">
        <w:t>seamless integration of learning into daily routines, promoting continuous engagement (</w:t>
      </w:r>
      <w:proofErr w:type="spellStart"/>
      <w:r w:rsidRPr="00B82202">
        <w:t>Bağcı</w:t>
      </w:r>
      <w:proofErr w:type="spellEnd"/>
      <w:r w:rsidRPr="00B82202">
        <w:t xml:space="preserve"> &amp; </w:t>
      </w:r>
      <w:proofErr w:type="spellStart"/>
      <w:r w:rsidRPr="00B82202">
        <w:t>Pekşen</w:t>
      </w:r>
      <w:proofErr w:type="spellEnd"/>
      <w:r w:rsidRPr="00B82202">
        <w:t xml:space="preserve">, </w:t>
      </w:r>
      <w:hyperlink w:anchor="Bağcı" w:history="1">
        <w:r w:rsidRPr="00B82202">
          <w:rPr>
            <w:rStyle w:val="Hyperlink"/>
            <w:color w:val="auto"/>
            <w:u w:val="none"/>
          </w:rPr>
          <w:t>2018</w:t>
        </w:r>
      </w:hyperlink>
      <w:r w:rsidRPr="00B82202">
        <w:t>).</w:t>
      </w:r>
    </w:p>
    <w:p w14:paraId="5739D499" w14:textId="3CFF4359" w:rsidR="000F1F8C" w:rsidRPr="00B82202" w:rsidRDefault="000F1F8C" w:rsidP="00EF3DE1">
      <w:pPr>
        <w:pStyle w:val="2nd"/>
      </w:pPr>
      <w:r w:rsidRPr="00B82202">
        <w:t xml:space="preserve">The Open Educational Resources (OER) movement has gained momentum, advocating for freely accessible learning materials. Research suggests that OER not only reduces costs but also promotes collaboration and knowledge-sharing on a global scale (Abeywardena et al., </w:t>
      </w:r>
      <w:hyperlink w:anchor="Abeywardena" w:history="1">
        <w:r w:rsidRPr="00B82202">
          <w:rPr>
            <w:rStyle w:val="Hyperlink"/>
            <w:color w:val="auto"/>
            <w:u w:val="none"/>
          </w:rPr>
          <w:t>2013</w:t>
        </w:r>
      </w:hyperlink>
      <w:r w:rsidRPr="00B82202">
        <w:t>). The adoption of OER aligns with the principles of openness and inclusivity in education.</w:t>
      </w:r>
    </w:p>
    <w:p w14:paraId="24DEAE60" w14:textId="1C90439E" w:rsidR="000F1F8C" w:rsidRPr="00B82202" w:rsidRDefault="000F1F8C" w:rsidP="00EF3DE1">
      <w:pPr>
        <w:pStyle w:val="2nd"/>
      </w:pPr>
      <w:r w:rsidRPr="00B82202">
        <w:lastRenderedPageBreak/>
        <w:t>Gamification introduces game elements into the learning process, enhancing engagement and motivation. Studies highlight the positive impact of gamification on learner participation and knowledge retention (</w:t>
      </w:r>
      <w:proofErr w:type="spellStart"/>
      <w:r w:rsidRPr="00B82202">
        <w:t>Dichev</w:t>
      </w:r>
      <w:proofErr w:type="spellEnd"/>
      <w:r w:rsidRPr="00B82202">
        <w:t xml:space="preserve"> &amp; </w:t>
      </w:r>
      <w:proofErr w:type="spellStart"/>
      <w:r w:rsidRPr="00B82202">
        <w:t>Dicheva</w:t>
      </w:r>
      <w:proofErr w:type="spellEnd"/>
      <w:r w:rsidRPr="00B82202">
        <w:t xml:space="preserve">, </w:t>
      </w:r>
      <w:hyperlink w:anchor="Dichev" w:history="1">
        <w:r w:rsidRPr="00B82202">
          <w:rPr>
            <w:rStyle w:val="Hyperlink"/>
            <w:color w:val="auto"/>
            <w:u w:val="none"/>
          </w:rPr>
          <w:t>2017</w:t>
        </w:r>
      </w:hyperlink>
      <w:r w:rsidRPr="00B82202">
        <w:t>)</w:t>
      </w:r>
      <w:r w:rsidR="00932756" w:rsidRPr="00B82202">
        <w:t xml:space="preserve">. </w:t>
      </w:r>
      <w:r w:rsidRPr="00B82202">
        <w:t>Gamified elements, such as badges and leaderboards, contribute to a dynamic and interactive learning environment.</w:t>
      </w:r>
    </w:p>
    <w:p w14:paraId="2C220C32" w14:textId="77777777" w:rsidR="000F1F8C" w:rsidRPr="00B82202" w:rsidRDefault="000F1F8C" w:rsidP="00EF3DE1">
      <w:pPr>
        <w:pStyle w:val="2nd"/>
      </w:pPr>
      <w:r w:rsidRPr="00B82202">
        <w:t>The concept of personalized learning recognizes the diversity of learners and tailors educational experiences accordingly. Adaptive learning technologies assess individual progress and adjust content delivery (Chen, 2006). Personalization fosters a learner-centric approach, catering to distinct learning styles and preferences (Hsieh, 2016).</w:t>
      </w:r>
    </w:p>
    <w:p w14:paraId="471BE6D0" w14:textId="7002BFFF" w:rsidR="000F1F8C" w:rsidRPr="00B82202" w:rsidRDefault="000F1F8C" w:rsidP="00EF3DE1">
      <w:pPr>
        <w:pStyle w:val="2nd"/>
      </w:pPr>
      <w:r w:rsidRPr="00B82202">
        <w:t>Assessment practices in distance learning have evolved with the integration of technology. Kinshuk, Huang, Sampson and Chen (</w:t>
      </w:r>
      <w:hyperlink w:anchor="Chen" w:history="1">
        <w:r w:rsidRPr="00B82202">
          <w:rPr>
            <w:rStyle w:val="Hyperlink"/>
            <w:color w:val="auto"/>
            <w:u w:val="none"/>
          </w:rPr>
          <w:t>2013</w:t>
        </w:r>
      </w:hyperlink>
      <w:r w:rsidRPr="00B82202">
        <w:t xml:space="preserve">) argued that the benefits of technology in education caught the interest of researchers, governments, and funding agencies. Computer systems were funded to help students in the learning process, consequently decreasing teachers’ workload. As a result, educational technology research was able to study advanced issues such as intelligent tutoring, simulations, advanced learning management systems, automatic assessment systems, and </w:t>
      </w:r>
      <w:r w:rsidRPr="00B82202">
        <w:rPr>
          <w:rStyle w:val="LastChar"/>
        </w:rPr>
        <w:t>adaptive systems. Some educators believe that since technology involves big budgets, the interest of policymakers is</w:t>
      </w:r>
      <w:r w:rsidRPr="00B82202">
        <w:t xml:space="preserve"> not due to the interest </w:t>
      </w:r>
      <w:r w:rsidR="006F6323" w:rsidRPr="00B82202">
        <w:t xml:space="preserve">in </w:t>
      </w:r>
      <w:r w:rsidRPr="00B82202">
        <w:t xml:space="preserve">improving </w:t>
      </w:r>
      <w:r w:rsidR="006F6323" w:rsidRPr="00B82202">
        <w:t xml:space="preserve">the </w:t>
      </w:r>
      <w:r w:rsidRPr="00B82202">
        <w:t>learning experience (</w:t>
      </w:r>
      <w:proofErr w:type="spellStart"/>
      <w:r w:rsidRPr="00B82202">
        <w:t>Troussas</w:t>
      </w:r>
      <w:proofErr w:type="spellEnd"/>
      <w:r w:rsidRPr="00B82202">
        <w:t xml:space="preserve">, </w:t>
      </w:r>
      <w:proofErr w:type="spellStart"/>
      <w:r w:rsidRPr="00B82202">
        <w:t>Krouska</w:t>
      </w:r>
      <w:proofErr w:type="spellEnd"/>
      <w:r w:rsidRPr="00B82202">
        <w:t xml:space="preserve"> and </w:t>
      </w:r>
      <w:proofErr w:type="spellStart"/>
      <w:r w:rsidRPr="00B82202">
        <w:t>Sgouropoulou</w:t>
      </w:r>
      <w:proofErr w:type="spellEnd"/>
      <w:r w:rsidRPr="00B82202">
        <w:t xml:space="preserve">, </w:t>
      </w:r>
      <w:hyperlink w:anchor="Troussas" w:history="1">
        <w:r w:rsidRPr="00B82202">
          <w:rPr>
            <w:rStyle w:val="Hyperlink"/>
            <w:color w:val="auto"/>
            <w:u w:val="none"/>
          </w:rPr>
          <w:t>2020</w:t>
        </w:r>
      </w:hyperlink>
      <w:r w:rsidRPr="00B82202">
        <w:t>); their interest is due to the monetary benefit they gain from increased use of technology in education.</w:t>
      </w:r>
    </w:p>
    <w:p w14:paraId="6765677C" w14:textId="2DE94D08" w:rsidR="000F1F8C" w:rsidRPr="00B82202" w:rsidRDefault="000F1F8C" w:rsidP="00EF3DE1">
      <w:pPr>
        <w:pStyle w:val="2nd"/>
      </w:pPr>
      <w:r w:rsidRPr="00B82202">
        <w:t xml:space="preserve">The interconnectedness facilitated by the internet has transformed distance learning into a global </w:t>
      </w:r>
      <w:proofErr w:type="spellStart"/>
      <w:r w:rsidRPr="00B82202">
        <w:t>endeavo</w:t>
      </w:r>
      <w:r w:rsidR="006F6323" w:rsidRPr="00B82202">
        <w:t>u</w:t>
      </w:r>
      <w:r w:rsidRPr="00B82202">
        <w:t>r</w:t>
      </w:r>
      <w:proofErr w:type="spellEnd"/>
      <w:r w:rsidRPr="00B82202">
        <w:t xml:space="preserve">. Studies emphasize the significance of international collaborations, fostering cross-cultural understanding and diverse perspectives (Commander et al., </w:t>
      </w:r>
      <w:hyperlink w:anchor="Commander" w:history="1">
        <w:r w:rsidRPr="00B82202">
          <w:rPr>
            <w:rStyle w:val="Hyperlink"/>
            <w:color w:val="auto"/>
            <w:u w:val="none"/>
          </w:rPr>
          <w:t>2012</w:t>
        </w:r>
      </w:hyperlink>
      <w:r w:rsidRPr="00B82202">
        <w:t xml:space="preserve">). Virtual classrooms become spaces for global networking, preparing learners for a world interconnected by technology (Ramos, </w:t>
      </w:r>
      <w:hyperlink w:anchor="Ramos" w:history="1">
        <w:r w:rsidRPr="00B82202">
          <w:rPr>
            <w:rStyle w:val="Hyperlink"/>
            <w:color w:val="auto"/>
            <w:u w:val="none"/>
          </w:rPr>
          <w:t>2014</w:t>
        </w:r>
      </w:hyperlink>
      <w:r w:rsidRPr="00B82202">
        <w:t>).</w:t>
      </w:r>
    </w:p>
    <w:p w14:paraId="0165B4BD" w14:textId="62AD2836" w:rsidR="000F1F8C" w:rsidRPr="00B82202" w:rsidRDefault="000F1F8C" w:rsidP="00EF3DE1">
      <w:pPr>
        <w:pStyle w:val="2nd"/>
      </w:pPr>
      <w:r w:rsidRPr="00B82202">
        <w:t xml:space="preserve">While the trends and innovations in distance learning are promising, the literature also highlights associated challenges. Issues of equity and access persist, with concerns about the digital divide and disparities in technology access (Schmid, 2019). Technological barriers, learner isolation, and the need for effective instructor training are among the challenges explored in current research (Rahiem, </w:t>
      </w:r>
      <w:hyperlink w:anchor="Rahiem" w:history="1">
        <w:r w:rsidRPr="00B82202">
          <w:rPr>
            <w:rStyle w:val="Hyperlink"/>
            <w:color w:val="auto"/>
            <w:u w:val="none"/>
          </w:rPr>
          <w:t>2020</w:t>
        </w:r>
      </w:hyperlink>
      <w:r w:rsidRPr="00B82202">
        <w:t>).</w:t>
      </w:r>
    </w:p>
    <w:p w14:paraId="12E153E8" w14:textId="7A20663E" w:rsidR="000F1F8C" w:rsidRPr="00B82202" w:rsidRDefault="000F1F8C" w:rsidP="00EF3DE1">
      <w:pPr>
        <w:pStyle w:val="2nd"/>
      </w:pPr>
      <w:r w:rsidRPr="00B82202">
        <w:t>The resilience of distance learning during crises, as demonstrated during events like the COVID-19 pandemic, is a subject of contemporary research. Studies examine the adaptability of distance learning models in ensuring continuity during disruptions to traditional education (</w:t>
      </w:r>
      <w:proofErr w:type="spellStart"/>
      <w:r w:rsidRPr="00B82202">
        <w:t>Aristovnik</w:t>
      </w:r>
      <w:proofErr w:type="spellEnd"/>
      <w:r w:rsidRPr="00B82202">
        <w:t xml:space="preserve"> et al., </w:t>
      </w:r>
      <w:hyperlink w:anchor="Aristovnik" w:history="1">
        <w:r w:rsidRPr="00B82202">
          <w:rPr>
            <w:rStyle w:val="Hyperlink"/>
            <w:color w:val="auto"/>
            <w:u w:val="none"/>
          </w:rPr>
          <w:t>202</w:t>
        </w:r>
        <w:r w:rsidR="00105FA8">
          <w:rPr>
            <w:rStyle w:val="Hyperlink"/>
            <w:color w:val="auto"/>
            <w:u w:val="none"/>
          </w:rPr>
          <w:t>2</w:t>
        </w:r>
      </w:hyperlink>
      <w:r w:rsidRPr="00B82202">
        <w:t>). The crisis resilience of distance learning highlights its role as a viable alternative in unpredictable circumstances.</w:t>
      </w:r>
    </w:p>
    <w:p w14:paraId="6088113E" w14:textId="305B2B99" w:rsidR="000F1F8C" w:rsidRPr="00B82202" w:rsidRDefault="000F1F8C" w:rsidP="00EF3DE1">
      <w:pPr>
        <w:pStyle w:val="2nd"/>
      </w:pPr>
      <w:r w:rsidRPr="00B82202">
        <w:t>The literature consistently underscores the dynamic nature of distance learning, characterized by continuous evolution and innovation. Scholars advocate for ongoing experimentation with new methodologies and technologies (</w:t>
      </w:r>
      <w:proofErr w:type="spellStart"/>
      <w:r w:rsidRPr="00B82202">
        <w:t>Keengwe</w:t>
      </w:r>
      <w:proofErr w:type="spellEnd"/>
      <w:r w:rsidRPr="00B82202">
        <w:t xml:space="preserve"> &amp; </w:t>
      </w:r>
      <w:proofErr w:type="spellStart"/>
      <w:r w:rsidRPr="00B82202">
        <w:t>Onchwari</w:t>
      </w:r>
      <w:proofErr w:type="spellEnd"/>
      <w:r w:rsidRPr="00B82202">
        <w:t xml:space="preserve">, </w:t>
      </w:r>
      <w:hyperlink w:anchor="Keengwe" w:history="1">
        <w:r w:rsidRPr="00B82202">
          <w:rPr>
            <w:rStyle w:val="Hyperlink"/>
            <w:color w:val="auto"/>
            <w:u w:val="none"/>
          </w:rPr>
          <w:t>2011</w:t>
        </w:r>
      </w:hyperlink>
      <w:r w:rsidRPr="00B82202">
        <w:t>).The commitment to innovation positions distance learning as a catalyst for change in the educational landscape.</w:t>
      </w:r>
    </w:p>
    <w:p w14:paraId="2D3E87A9" w14:textId="49BD3131" w:rsidR="000F1F8C" w:rsidRPr="00B82202" w:rsidRDefault="000F1F8C" w:rsidP="00EF3DE1">
      <w:pPr>
        <w:pStyle w:val="Last"/>
      </w:pPr>
      <w:r w:rsidRPr="00B82202">
        <w:t>The literature review elucidates the multifaceted landscape of distance learning, emphasizing its historical evolution, transformative impact, and continuous innovation. The democratization of education, facilitated by broad access and technological advancements, is at the core of distance learning's significance. Blended learning, mobile learning, open educational resources, gamification, and personalized learning environments emerge as prominent trends, shaping the prospects of distance learning (</w:t>
      </w:r>
      <w:r w:rsidR="00932756" w:rsidRPr="00B82202">
        <w:t>Wu</w:t>
      </w:r>
      <w:r w:rsidRPr="00B82202">
        <w:t xml:space="preserve">, </w:t>
      </w:r>
      <w:hyperlink w:anchor="Wu" w:history="1">
        <w:r w:rsidRPr="00B82202">
          <w:rPr>
            <w:rStyle w:val="Hyperlink"/>
            <w:color w:val="auto"/>
            <w:u w:val="none"/>
          </w:rPr>
          <w:t>2010</w:t>
        </w:r>
      </w:hyperlink>
      <w:r w:rsidRPr="00B82202">
        <w:t>). However, challenges persist, and research explores issues of equity, technological barriers, and the need for crisis-resilient models. The literature collectively points to the dynamic and resilient nature of distance learning, positioning it as a key player in the evolving landscape of contemporary education.</w:t>
      </w:r>
    </w:p>
    <w:p w14:paraId="35198953" w14:textId="31D9EAF8" w:rsidR="000F1F8C" w:rsidRPr="00B82202" w:rsidRDefault="000F1F8C" w:rsidP="007D005B">
      <w:pPr>
        <w:pStyle w:val="Main"/>
      </w:pPr>
      <w:r w:rsidRPr="00B82202">
        <w:lastRenderedPageBreak/>
        <w:t>Technological Advancements in Distance Learning</w:t>
      </w:r>
    </w:p>
    <w:p w14:paraId="2FB5FC09" w14:textId="77777777" w:rsidR="000F1F8C" w:rsidRPr="00B82202" w:rsidRDefault="000F1F8C" w:rsidP="007D005B">
      <w:pPr>
        <w:spacing w:after="0" w:line="276" w:lineRule="auto"/>
        <w:jc w:val="both"/>
        <w:rPr>
          <w:rFonts w:ascii="Amasis MT Pro Light" w:hAnsi="Amasis MT Pro Light"/>
          <w:b/>
          <w:bCs/>
        </w:rPr>
      </w:pPr>
      <w:r w:rsidRPr="00B82202">
        <w:rPr>
          <w:rFonts w:ascii="Amasis MT Pro Light" w:hAnsi="Amasis MT Pro Light"/>
          <w:b/>
          <w:bCs/>
        </w:rPr>
        <w:t>Integration of Artificial Intelligence in Online Education</w:t>
      </w:r>
    </w:p>
    <w:p w14:paraId="7392B8A9" w14:textId="77777777" w:rsidR="000F1F8C" w:rsidRPr="00B82202" w:rsidRDefault="000F1F8C" w:rsidP="007D005B">
      <w:pPr>
        <w:pStyle w:val="1st"/>
      </w:pPr>
      <w:r w:rsidRPr="00B82202">
        <w:t>The integration of Artificial Intelligence (AI) in online education represents a transformative leap, ushering in a new era of personalized and adaptive learning experiences. AI algorithms, with their capacity to analyze vast amounts of data, play a pivotal role in tailoring educational content to the specific needs of individual learners.</w:t>
      </w:r>
    </w:p>
    <w:p w14:paraId="0160B344" w14:textId="348C7F2A" w:rsidR="000F1F8C" w:rsidRPr="00B82202" w:rsidRDefault="000F1F8C" w:rsidP="007D005B">
      <w:pPr>
        <w:pStyle w:val="2nd"/>
      </w:pPr>
      <w:r w:rsidRPr="00B82202">
        <w:t>One of the key benefits of AI in online education is its ability to provide personalized learning paths. By tracking student's progress, assessing their strengths and weaknesses, and understanding their preferred learning styles, AI algorithms can curate a customized curriculum. This personalized approach ensures that learners receive content at an optimal difficulty level, promoting both engagement and comprehension.</w:t>
      </w:r>
    </w:p>
    <w:p w14:paraId="5D7E3ED3" w14:textId="77777777" w:rsidR="000F1F8C" w:rsidRPr="00B82202" w:rsidRDefault="000F1F8C" w:rsidP="007D005B">
      <w:pPr>
        <w:pStyle w:val="2nd"/>
      </w:pPr>
      <w:r w:rsidRPr="00B82202">
        <w:t>Furthermore, AI-driven educational platforms can offer real-time feedback and assessments. This instantaneous feedback loop allows learners to identify and rectify misconceptions promptly, promoting a deeper understanding of concepts. Adaptive assessments, informed by AI, can dynamically adjust the difficulty of questions based on a student's performance, ensuring a challenging yet achievable learning experience.</w:t>
      </w:r>
    </w:p>
    <w:p w14:paraId="134FF1ED" w14:textId="5841D283" w:rsidR="000F1F8C" w:rsidRPr="00B82202" w:rsidRDefault="000F1F8C" w:rsidP="007D005B">
      <w:pPr>
        <w:pStyle w:val="Last"/>
      </w:pPr>
      <w:r w:rsidRPr="00B82202">
        <w:t>In addition to personalized learning and real-time feedback, AI contributes to the development of intelligent tutoring systems. These systems can simulate one-on-one interactions, providing targeted guidance and support to individual learners. The adaptability of AI ensures that these tutoring systems evolve alongside the learner, addressing their evolving needs and promoting a more effective educational journey.</w:t>
      </w:r>
      <w:r w:rsidR="007D005B" w:rsidRPr="00B82202">
        <w:t xml:space="preserve"> </w:t>
      </w:r>
      <w:r w:rsidRPr="00B82202">
        <w:t>As AI continues to advance, its integration in</w:t>
      </w:r>
      <w:r w:rsidR="006F6323" w:rsidRPr="00B82202">
        <w:t>to</w:t>
      </w:r>
      <w:r w:rsidRPr="00B82202">
        <w:t xml:space="preserve"> online education holds the promise of revolutionizing the way we teach and learn, fostering a more inclusive, dynamic, and learner-centric educational landscape.</w:t>
      </w:r>
    </w:p>
    <w:p w14:paraId="0B54A7C6" w14:textId="77777777" w:rsidR="007D005B" w:rsidRPr="00B82202" w:rsidRDefault="007D005B" w:rsidP="007D005B">
      <w:pPr>
        <w:spacing w:after="0" w:line="276" w:lineRule="auto"/>
        <w:jc w:val="both"/>
        <w:rPr>
          <w:rFonts w:ascii="Amasis MT Pro Light" w:hAnsi="Amasis MT Pro Light"/>
        </w:rPr>
      </w:pPr>
    </w:p>
    <w:p w14:paraId="7D00DA86" w14:textId="32B60117" w:rsidR="000F1F8C" w:rsidRPr="00B82202" w:rsidRDefault="000F1F8C" w:rsidP="007D005B">
      <w:pPr>
        <w:spacing w:after="0" w:line="276" w:lineRule="auto"/>
        <w:jc w:val="both"/>
        <w:rPr>
          <w:rFonts w:ascii="Amasis MT Pro Light" w:hAnsi="Amasis MT Pro Light"/>
          <w:b/>
          <w:bCs/>
        </w:rPr>
      </w:pPr>
      <w:r w:rsidRPr="00B82202">
        <w:rPr>
          <w:rFonts w:ascii="Amasis MT Pro Light" w:hAnsi="Amasis MT Pro Light"/>
          <w:b/>
          <w:bCs/>
        </w:rPr>
        <w:t>Virtual Reality and Augmented Reality Applications</w:t>
      </w:r>
    </w:p>
    <w:p w14:paraId="24CC472F" w14:textId="77777777" w:rsidR="000F1F8C" w:rsidRPr="00B82202" w:rsidRDefault="000F1F8C" w:rsidP="007D005B">
      <w:pPr>
        <w:pStyle w:val="1st"/>
      </w:pPr>
      <w:r w:rsidRPr="00B82202">
        <w:t>Virtual Reality (VR) and Augmented Reality (AR) applications are reshaping the landscape of distance learning, offering immersive and engaging experiences for learners. VR creates simulated environments that users can navigate, providing a sense of presence and interaction. In distance education, VR allows students to explore virtual classrooms, laboratories, or historical sites, enhancing the practical aspect of learning.</w:t>
      </w:r>
    </w:p>
    <w:p w14:paraId="104795C1" w14:textId="0CF74CE5" w:rsidR="000F1F8C" w:rsidRPr="00B82202" w:rsidRDefault="000F1F8C" w:rsidP="007D005B">
      <w:pPr>
        <w:pStyle w:val="Last"/>
      </w:pPr>
      <w:r w:rsidRPr="00B82202">
        <w:t xml:space="preserve">On the other hand, AR overlays digital content </w:t>
      </w:r>
      <w:r w:rsidR="006F6323" w:rsidRPr="00B82202">
        <w:t xml:space="preserve">in </w:t>
      </w:r>
      <w:r w:rsidRPr="00B82202">
        <w:t>the real world, supplementing the physical environment with additional information. In distance learning, AR applications can transform textbooks into interactive multimedia experiences or provide real-time information during virtual field trips. These technologies bridge the gap between the physical and virtual worlds, offering a more dynamic and interactive educational experience for remote learners. As VR and AR technologies continue to advance, their integration into distance education holds the potential to revolutionize the way learners engage with educational content.</w:t>
      </w:r>
    </w:p>
    <w:p w14:paraId="2942D848" w14:textId="77777777" w:rsidR="007D005B" w:rsidRPr="00B82202" w:rsidRDefault="007D005B" w:rsidP="007D005B">
      <w:pPr>
        <w:spacing w:after="0" w:line="276" w:lineRule="auto"/>
        <w:jc w:val="both"/>
        <w:rPr>
          <w:rFonts w:ascii="Amasis MT Pro Light" w:hAnsi="Amasis MT Pro Light"/>
          <w:b/>
          <w:bCs/>
        </w:rPr>
      </w:pPr>
    </w:p>
    <w:p w14:paraId="2548D8B8" w14:textId="51F7C4B9" w:rsidR="000F1F8C" w:rsidRPr="00B82202" w:rsidRDefault="000F1F8C" w:rsidP="007D005B">
      <w:pPr>
        <w:pStyle w:val="Main"/>
      </w:pPr>
      <w:r w:rsidRPr="00B82202">
        <w:t>Blended Learning Models</w:t>
      </w:r>
    </w:p>
    <w:p w14:paraId="76AEC8E2" w14:textId="77777777" w:rsidR="000F1F8C" w:rsidRPr="00B82202" w:rsidRDefault="000F1F8C" w:rsidP="007D005B">
      <w:pPr>
        <w:spacing w:after="0" w:line="276" w:lineRule="auto"/>
        <w:jc w:val="both"/>
        <w:rPr>
          <w:rFonts w:ascii="Amasis MT Pro Light" w:hAnsi="Amasis MT Pro Light"/>
          <w:b/>
          <w:bCs/>
        </w:rPr>
      </w:pPr>
      <w:r w:rsidRPr="00B82202">
        <w:rPr>
          <w:rFonts w:ascii="Amasis MT Pro Light" w:hAnsi="Amasis MT Pro Light"/>
          <w:b/>
          <w:bCs/>
        </w:rPr>
        <w:t>Hybrid Approaches: Combining In-Person and Virtual ruction</w:t>
      </w:r>
    </w:p>
    <w:p w14:paraId="2A5D6F3A" w14:textId="77777777" w:rsidR="000F1F8C" w:rsidRPr="00B82202" w:rsidRDefault="000F1F8C" w:rsidP="007D005B">
      <w:pPr>
        <w:pStyle w:val="1st"/>
      </w:pPr>
      <w:r w:rsidRPr="00B82202">
        <w:t>Hybrid approaches, combining in-person and virtual instruction, have emerged as a flexible and dynamic model in education. This approach seeks to leverage the strengths of both traditional face-to-face learning and online instruction, providing a balanced and adaptable educational experience. In a hybrid model, students participate in a combination of in-person classroom sessions and virtual activities, discussions, or assessments.</w:t>
      </w:r>
    </w:p>
    <w:p w14:paraId="32E80FAA" w14:textId="77777777" w:rsidR="000F1F8C" w:rsidRPr="00B82202" w:rsidRDefault="000F1F8C" w:rsidP="00932756">
      <w:pPr>
        <w:pStyle w:val="2nd"/>
      </w:pPr>
      <w:r w:rsidRPr="00B82202">
        <w:t xml:space="preserve">This blended format allows for increased flexibility, accommodating diverse learning styles and schedules. In-person sessions facilitate direct interaction with instructors and peers, fostering a sense of community and </w:t>
      </w:r>
      <w:r w:rsidRPr="00B82202">
        <w:lastRenderedPageBreak/>
        <w:t>engagement. Simultaneously, virtual components offer the convenience of remote access, enabling learners to review materials, collaborate online, and complete assignments from anywhere.</w:t>
      </w:r>
    </w:p>
    <w:p w14:paraId="224188EF" w14:textId="77777777" w:rsidR="000F1F8C" w:rsidRPr="00B82202" w:rsidRDefault="000F1F8C" w:rsidP="007D005B">
      <w:pPr>
        <w:pStyle w:val="Last"/>
      </w:pPr>
      <w:r w:rsidRPr="00B82202">
        <w:t>Hybrid approaches have gained prominence, particularly in higher education, as they strike a balance between the advantages of traditional instruction and the flexibility afforded by online learning. The versatility of hybrid models positions them as a pragmatic solution to meet the evolving needs of modern learners.</w:t>
      </w:r>
    </w:p>
    <w:p w14:paraId="1C27CA17" w14:textId="77777777" w:rsidR="007D005B" w:rsidRPr="00B82202" w:rsidRDefault="007D005B" w:rsidP="007D005B">
      <w:pPr>
        <w:spacing w:after="0" w:line="276" w:lineRule="auto"/>
        <w:jc w:val="both"/>
        <w:rPr>
          <w:rFonts w:ascii="Amasis MT Pro Light" w:hAnsi="Amasis MT Pro Light"/>
        </w:rPr>
      </w:pPr>
    </w:p>
    <w:p w14:paraId="472EEB67" w14:textId="34A43F93" w:rsidR="000F1F8C" w:rsidRPr="00B82202" w:rsidRDefault="000F1F8C" w:rsidP="007D005B">
      <w:pPr>
        <w:spacing w:after="0" w:line="276" w:lineRule="auto"/>
        <w:jc w:val="both"/>
        <w:rPr>
          <w:rFonts w:ascii="Amasis MT Pro Light" w:hAnsi="Amasis MT Pro Light"/>
          <w:b/>
          <w:bCs/>
        </w:rPr>
      </w:pPr>
      <w:r w:rsidRPr="00B82202">
        <w:rPr>
          <w:rFonts w:ascii="Amasis MT Pro Light" w:hAnsi="Amasis MT Pro Light"/>
          <w:b/>
          <w:bCs/>
        </w:rPr>
        <w:t>Effectiveness of Blended Learning in Diverse Educational Settings</w:t>
      </w:r>
    </w:p>
    <w:p w14:paraId="6E099932" w14:textId="77777777" w:rsidR="000F1F8C" w:rsidRPr="00B82202" w:rsidRDefault="000F1F8C" w:rsidP="007D005B">
      <w:pPr>
        <w:pStyle w:val="1st"/>
      </w:pPr>
      <w:r w:rsidRPr="00B82202">
        <w:t>Blended learning, integrating traditional face-to-face instruction with online components, has proven to be a highly effective approach across diverse educational settings. This pedagogical model combines the strengths of in-person teaching with the flexibility and accessibility of virtual platforms, catering to the varied needs of learners.</w:t>
      </w:r>
    </w:p>
    <w:p w14:paraId="1A973EC0" w14:textId="77777777" w:rsidR="000F1F8C" w:rsidRPr="00B82202" w:rsidRDefault="000F1F8C" w:rsidP="007D005B">
      <w:pPr>
        <w:pStyle w:val="2nd"/>
      </w:pPr>
      <w:r w:rsidRPr="00B82202">
        <w:t>In diverse educational settings, such as K-12 schools, universities, and professional development programs, blended learning accommodates different learning styles and preferences. It offers a personalized learning experience, allowing students to progress at their own pace while providing valuable face-to-face interactions during in-person sessions. This adaptability is particularly beneficial for accommodating various educational levels, subject matters, and demographic backgrounds.</w:t>
      </w:r>
    </w:p>
    <w:p w14:paraId="6C2696CD" w14:textId="77777777" w:rsidR="000F1F8C" w:rsidRPr="00B82202" w:rsidRDefault="000F1F8C" w:rsidP="007D005B">
      <w:pPr>
        <w:pStyle w:val="2nd"/>
      </w:pPr>
      <w:r w:rsidRPr="00B82202">
        <w:t>Research consistently highlights the positive impact of blended learning on student outcomes. The flexibility of accessing online resources promotes self-directed learning, and virtual components facilitate collaborative and interactive learning experiences. In addition, educators can leverage technology to tailor content to individual student needs, fostering a more inclusive and engaging learning environment.</w:t>
      </w:r>
    </w:p>
    <w:p w14:paraId="4853FD51" w14:textId="77777777" w:rsidR="000F1F8C" w:rsidRPr="00B82202" w:rsidRDefault="000F1F8C" w:rsidP="007D005B">
      <w:pPr>
        <w:pStyle w:val="Last"/>
      </w:pPr>
      <w:r w:rsidRPr="00B82202">
        <w:t>The effectiveness of blended learning extends beyond traditional academic settings, reaching corporate training programs and continuing education initiatives. Its versatility makes it a valuable strategy for enhancing learning outcomes, promoting student engagement, and preparing individuals for success in diverse educational contexts.</w:t>
      </w:r>
    </w:p>
    <w:p w14:paraId="72EB59C0" w14:textId="77777777" w:rsidR="007D005B" w:rsidRPr="00B82202" w:rsidRDefault="007D005B" w:rsidP="007D005B">
      <w:pPr>
        <w:spacing w:after="0" w:line="276" w:lineRule="auto"/>
        <w:jc w:val="both"/>
        <w:rPr>
          <w:rFonts w:ascii="Amasis MT Pro Light" w:hAnsi="Amasis MT Pro Light"/>
          <w:b/>
          <w:bCs/>
        </w:rPr>
      </w:pPr>
    </w:p>
    <w:p w14:paraId="5929E1FE" w14:textId="60853FBF" w:rsidR="000F1F8C" w:rsidRPr="00B82202" w:rsidRDefault="000F1F8C" w:rsidP="007D005B">
      <w:pPr>
        <w:spacing w:after="0" w:line="276" w:lineRule="auto"/>
        <w:jc w:val="both"/>
        <w:rPr>
          <w:rFonts w:ascii="Amasis MT Pro Light" w:hAnsi="Amasis MT Pro Light"/>
        </w:rPr>
      </w:pPr>
      <w:r w:rsidRPr="00B82202">
        <w:rPr>
          <w:rFonts w:ascii="Amasis MT Pro Light" w:hAnsi="Amasis MT Pro Light"/>
          <w:b/>
          <w:bCs/>
        </w:rPr>
        <w:t>Mobile Learning (m-Learning)</w:t>
      </w:r>
    </w:p>
    <w:p w14:paraId="59C8F87F" w14:textId="77777777" w:rsidR="000F1F8C" w:rsidRPr="00B82202" w:rsidRDefault="000F1F8C" w:rsidP="007D005B">
      <w:pPr>
        <w:pStyle w:val="1st"/>
      </w:pPr>
      <w:r w:rsidRPr="00B82202">
        <w:t>Mobile applications and platforms have become integral components of modern learning ecosystems, transforming the educational landscape and offering unprecedented flexibility and accessibility. The ubiquity of smartphones and tablets has facilitated a paradigm shift in how learners engage with educational content.</w:t>
      </w:r>
    </w:p>
    <w:p w14:paraId="17DEB42F" w14:textId="77777777" w:rsidR="000F1F8C" w:rsidRPr="00B82202" w:rsidRDefault="000F1F8C" w:rsidP="007D005B">
      <w:pPr>
        <w:pStyle w:val="2nd"/>
      </w:pPr>
      <w:r w:rsidRPr="00B82202">
        <w:t>Mobile applications for learning are designed to provide users with on-the-go access to a diverse range of educational resources. These applications cover various subjects, from language learning and STEM courses to professional development and skill-building. Learning platforms, often accessible through mobile apps, offer courses, lectures, and interactive materials tailored to diverse educational needs.</w:t>
      </w:r>
    </w:p>
    <w:p w14:paraId="55B6FC15" w14:textId="6D781681" w:rsidR="000F1F8C" w:rsidRPr="00B82202" w:rsidRDefault="000F1F8C" w:rsidP="007D005B">
      <w:pPr>
        <w:pStyle w:val="2nd"/>
      </w:pPr>
      <w:r w:rsidRPr="00B82202">
        <w:t>One significant advantage of mobile learning (m-learning) is the flexibility it provides. Learners can access educational content anytime, anywhere, breaking free from traditional constraints associated with physical classrooms. Whether commuting, waiting or simply on</w:t>
      </w:r>
      <w:r w:rsidR="006F6323" w:rsidRPr="00B82202">
        <w:t xml:space="preserve"> the </w:t>
      </w:r>
      <w:r w:rsidRPr="00B82202">
        <w:t>move, individuals can seamlessly integrate learning into their daily lives.</w:t>
      </w:r>
    </w:p>
    <w:p w14:paraId="38A2CAB7" w14:textId="77777777" w:rsidR="000F1F8C" w:rsidRPr="00B82202" w:rsidRDefault="000F1F8C" w:rsidP="007D005B">
      <w:pPr>
        <w:pStyle w:val="2nd"/>
      </w:pPr>
      <w:r w:rsidRPr="00B82202">
        <w:t>Moreover, mobile applications enhance engagement through interactive features. Many platforms incorporate gamified elements, quizzes, and discussion forums, fostering an interactive and dynamic learning experience. These applications often utilize multimedia elements, such as videos and animations, making learning more engaging and conducive to different learning styles.</w:t>
      </w:r>
    </w:p>
    <w:p w14:paraId="4E567760" w14:textId="77777777" w:rsidR="000F1F8C" w:rsidRPr="00B82202" w:rsidRDefault="000F1F8C" w:rsidP="00F74B01">
      <w:pPr>
        <w:pStyle w:val="2nd"/>
        <w:spacing w:after="80"/>
      </w:pPr>
      <w:r w:rsidRPr="00B82202">
        <w:lastRenderedPageBreak/>
        <w:t>Accessibility is a key aspect of mobile learning. With educational materials just a tap away, learners from diverse backgrounds can access quality content. This inclusivity is particularly impactful in regions with limited access to traditional educational resources.</w:t>
      </w:r>
    </w:p>
    <w:p w14:paraId="22C155FA" w14:textId="77777777" w:rsidR="000F1F8C" w:rsidRPr="00B82202" w:rsidRDefault="000F1F8C" w:rsidP="007D005B">
      <w:pPr>
        <w:pStyle w:val="Last"/>
      </w:pPr>
      <w:r w:rsidRPr="00B82202">
        <w:t>As technology continues to advance, mobile applications for learning will likely play an increasingly prominent role in education. The ongoing development of user-friendly interfaces, adaptive learning technologies, and innovative content delivery methods ensures that mobile learning remains a dynamic and influential force in shaping the future of education.</w:t>
      </w:r>
    </w:p>
    <w:p w14:paraId="2143FEFD" w14:textId="77777777" w:rsidR="007D005B" w:rsidRPr="00B82202" w:rsidRDefault="007D005B" w:rsidP="007D005B">
      <w:pPr>
        <w:spacing w:after="0" w:line="276" w:lineRule="auto"/>
        <w:jc w:val="both"/>
        <w:rPr>
          <w:rFonts w:ascii="Amasis MT Pro Light" w:hAnsi="Amasis MT Pro Light"/>
          <w:sz w:val="16"/>
          <w:szCs w:val="16"/>
        </w:rPr>
      </w:pPr>
    </w:p>
    <w:p w14:paraId="6E0C28D1" w14:textId="0AACC666" w:rsidR="000F1F8C" w:rsidRPr="00B82202" w:rsidRDefault="000F1F8C" w:rsidP="007D005B">
      <w:pPr>
        <w:spacing w:after="0" w:line="276" w:lineRule="auto"/>
        <w:jc w:val="both"/>
        <w:rPr>
          <w:rFonts w:ascii="Amasis MT Pro Light" w:hAnsi="Amasis MT Pro Light"/>
        </w:rPr>
      </w:pPr>
      <w:r w:rsidRPr="00B82202">
        <w:rPr>
          <w:rFonts w:ascii="Amasis MT Pro Light" w:hAnsi="Amasis MT Pro Light"/>
          <w:b/>
          <w:bCs/>
        </w:rPr>
        <w:t>Open Educational Resources (OER)</w:t>
      </w:r>
    </w:p>
    <w:p w14:paraId="43B38078" w14:textId="440E11B9" w:rsidR="000F1F8C" w:rsidRPr="00B82202" w:rsidRDefault="000F1F8C" w:rsidP="00F74B01">
      <w:pPr>
        <w:pStyle w:val="2nd"/>
        <w:spacing w:after="90"/>
        <w:ind w:firstLine="0"/>
      </w:pPr>
      <w:r w:rsidRPr="00B82202">
        <w:t>Open Educational Resources (OER) have emerged as a transformative trend in education, reshaping how learning materials are created, shared, and accessed. OER, which encompas</w:t>
      </w:r>
      <w:r w:rsidR="006F6323" w:rsidRPr="00B82202">
        <w:t>se</w:t>
      </w:r>
      <w:r w:rsidRPr="00B82202">
        <w:t xml:space="preserve">s freely accessible educational resources, including textbooks, courses, and multimedia content, </w:t>
      </w:r>
      <w:r w:rsidR="006F6323" w:rsidRPr="00B82202">
        <w:t xml:space="preserve">is </w:t>
      </w:r>
      <w:r w:rsidRPr="00B82202">
        <w:t xml:space="preserve">at the forefront of the movement towards </w:t>
      </w:r>
      <w:r w:rsidR="006F6323" w:rsidRPr="00B82202">
        <w:t>open-</w:t>
      </w:r>
      <w:r w:rsidRPr="00B82202">
        <w:t>access learning materials.</w:t>
      </w:r>
    </w:p>
    <w:p w14:paraId="33C09321" w14:textId="77777777" w:rsidR="000F1F8C" w:rsidRPr="00B82202" w:rsidRDefault="000F1F8C" w:rsidP="007D005B">
      <w:pPr>
        <w:pStyle w:val="2nd"/>
        <w:spacing w:after="90"/>
      </w:pPr>
      <w:r w:rsidRPr="00B82202">
        <w:t>The adoption of OER offers significant opportunities for educators and learners alike. One of the primary advantages is cost reduction, as freely available materials alleviate financial burdens on students. Moreover, OER promotes collaboration and knowledge sharing among educators globally, fostering a sense of community and collective improvement in educational content.</w:t>
      </w:r>
    </w:p>
    <w:p w14:paraId="10999F87" w14:textId="77777777" w:rsidR="000F1F8C" w:rsidRPr="00B82202" w:rsidRDefault="000F1F8C" w:rsidP="00F74B01">
      <w:pPr>
        <w:pStyle w:val="2nd"/>
        <w:spacing w:after="78"/>
      </w:pPr>
      <w:r w:rsidRPr="00B82202">
        <w:t>However, the implementation of OER comes with its set of challenges. One key challenge is the need for awareness and training among educators. Many instructors may be unfamiliar with the concept of OER or may face hurdles in integrating these resources into their teaching practices. Copyright considerations and the need for quality assurance are also concerns, as ensuring the accuracy and relevance of OER can be challenging.</w:t>
      </w:r>
    </w:p>
    <w:p w14:paraId="6D8E8B6F" w14:textId="77777777" w:rsidR="000F1F8C" w:rsidRPr="00B82202" w:rsidRDefault="000F1F8C" w:rsidP="007D005B">
      <w:pPr>
        <w:pStyle w:val="Last"/>
      </w:pPr>
      <w:r w:rsidRPr="00B82202">
        <w:t>Despite challenges, the opportunities presented by OER are substantial. Collaborative efforts to raise awareness, provide training, and establish quality assurance mechanisms can enhance the effective implementation of OER, fostering a more inclusive and accessible educational environment for learners worldwide.</w:t>
      </w:r>
    </w:p>
    <w:p w14:paraId="4FC61D72" w14:textId="77777777" w:rsidR="000F1F8C" w:rsidRPr="00B82202" w:rsidRDefault="000F1F8C" w:rsidP="000F1F8C">
      <w:pPr>
        <w:spacing w:after="0" w:line="276" w:lineRule="auto"/>
        <w:jc w:val="both"/>
        <w:rPr>
          <w:rFonts w:ascii="Amasis MT Pro Light" w:hAnsi="Amasis MT Pro Light"/>
          <w:sz w:val="18"/>
          <w:szCs w:val="18"/>
        </w:rPr>
      </w:pPr>
    </w:p>
    <w:p w14:paraId="7E648B5B" w14:textId="77777777" w:rsidR="000F1F8C" w:rsidRPr="00B82202" w:rsidRDefault="000F1F8C" w:rsidP="007D005B">
      <w:pPr>
        <w:spacing w:after="0" w:line="276" w:lineRule="auto"/>
        <w:jc w:val="both"/>
        <w:rPr>
          <w:rFonts w:ascii="Amasis MT Pro Light" w:hAnsi="Amasis MT Pro Light"/>
        </w:rPr>
      </w:pPr>
      <w:r w:rsidRPr="00B82202">
        <w:rPr>
          <w:rFonts w:ascii="Amasis MT Pro Light" w:hAnsi="Amasis MT Pro Light"/>
          <w:b/>
          <w:bCs/>
        </w:rPr>
        <w:t>Gamification in Distance Learning</w:t>
      </w:r>
    </w:p>
    <w:p w14:paraId="7243264E" w14:textId="6ACACA29" w:rsidR="000F1F8C" w:rsidRPr="00B82202" w:rsidRDefault="000F1F8C" w:rsidP="007D005B">
      <w:pPr>
        <w:pStyle w:val="1st"/>
        <w:spacing w:after="90"/>
      </w:pPr>
      <w:r w:rsidRPr="00B82202">
        <w:t>Game-</w:t>
      </w:r>
      <w:r w:rsidR="006F6323" w:rsidRPr="00B82202">
        <w:t>based l</w:t>
      </w:r>
      <w:r w:rsidRPr="00B82202">
        <w:t>earning (GBL) has emerged as a powerful educational strategy that leverages the engaging and motivational aspects of games to enhance learning outcomes. This innovative approach employs game mechanics, such as competition, challenges, and rewards, to create immersive learning experiences.</w:t>
      </w:r>
    </w:p>
    <w:p w14:paraId="3EB02085" w14:textId="77777777" w:rsidR="000F1F8C" w:rsidRPr="00B82202" w:rsidRDefault="000F1F8C" w:rsidP="007D005B">
      <w:pPr>
        <w:pStyle w:val="2nd"/>
        <w:spacing w:after="90"/>
      </w:pPr>
      <w:r w:rsidRPr="00B82202">
        <w:t>The motivational impact of game-based learning is rooted in the inherent enjoyment and sense of achievement associated with playing games. By integrating educational content into a game format, learners often become more actively engaged and invested in the learning process. The element of competition, whether against oneself or peers, stimulates a desire to excel and achieve higher levels of proficiency.</w:t>
      </w:r>
    </w:p>
    <w:p w14:paraId="566E738E" w14:textId="6FA551B0" w:rsidR="000F1F8C" w:rsidRPr="00B82202" w:rsidRDefault="000F1F8C" w:rsidP="00F74B01">
      <w:pPr>
        <w:pStyle w:val="2nd"/>
        <w:spacing w:after="90"/>
      </w:pPr>
      <w:r w:rsidRPr="00B82202">
        <w:t>Furthermore, GBL promotes a sense of autonomy and choice, allowing learners to navigate the learning journey at their own pace. This self-directed approach fosters a positive learning environment, as individuals can explore topics in a way that aligns with their preferences and interests.</w:t>
      </w:r>
      <w:r w:rsidR="00F74B01" w:rsidRPr="00B82202">
        <w:t xml:space="preserve"> </w:t>
      </w:r>
      <w:r w:rsidRPr="00B82202">
        <w:t>The impact of GBL on learning outcomes is noteworthy. Studies have indicated that game-based learning can improve retention, problem-solving skills, and critical thinking abilities. The application of game mechanics facilitates experiential learning, enabling learners to apply theoretical knowledge in practical scenarios.</w:t>
      </w:r>
    </w:p>
    <w:p w14:paraId="3BC09281" w14:textId="77777777" w:rsidR="000F1F8C" w:rsidRPr="00B82202" w:rsidRDefault="000F1F8C" w:rsidP="007D005B">
      <w:pPr>
        <w:pStyle w:val="Last"/>
      </w:pPr>
      <w:r w:rsidRPr="00B82202">
        <w:t>In conclusion, game-based learning strategies have a motivational impact that positively influences learning outcomes. By harnessing the appeal of games, educators can create dynamic and interactive learning experiences that not only captivate learners but also enhance their understanding and retention of educational content.</w:t>
      </w:r>
    </w:p>
    <w:p w14:paraId="65C12C30" w14:textId="0EA25B42" w:rsidR="000F1F8C" w:rsidRPr="00B82202" w:rsidRDefault="000F1F8C" w:rsidP="007D005B">
      <w:pPr>
        <w:spacing w:after="0" w:line="276" w:lineRule="auto"/>
        <w:jc w:val="both"/>
        <w:rPr>
          <w:rFonts w:ascii="Amasis MT Pro Light" w:hAnsi="Amasis MT Pro Light"/>
        </w:rPr>
      </w:pPr>
      <w:r w:rsidRPr="00B82202">
        <w:rPr>
          <w:rFonts w:ascii="Amasis MT Pro Light" w:hAnsi="Amasis MT Pro Light"/>
          <w:b/>
          <w:bCs/>
        </w:rPr>
        <w:lastRenderedPageBreak/>
        <w:t>Personalized Learning Environments</w:t>
      </w:r>
    </w:p>
    <w:p w14:paraId="3EC918A9" w14:textId="77777777" w:rsidR="000F1F8C" w:rsidRPr="00B82202" w:rsidRDefault="000F1F8C" w:rsidP="007D005B">
      <w:pPr>
        <w:pStyle w:val="1st"/>
      </w:pPr>
      <w:r w:rsidRPr="00B82202">
        <w:t>Adaptive Learning Technologies (ALT) represent a groundbreaking trend in education, offering personalized and tailored learning experiences that cater to the unique needs of individual learners. These technologies leverage data-driven algorithms and analytics to dynamically adjust the delivery of educational content, ensuring a customized and adaptive approach to learning.</w:t>
      </w:r>
    </w:p>
    <w:p w14:paraId="4CD3A541" w14:textId="77777777" w:rsidR="000F1F8C" w:rsidRPr="00B82202" w:rsidRDefault="000F1F8C" w:rsidP="007D005B">
      <w:pPr>
        <w:pStyle w:val="2nd"/>
      </w:pPr>
      <w:r w:rsidRPr="00B82202">
        <w:t>One of the key features of adaptive learning technologies is the ability to assess individual learners' strengths, weaknesses, and learning preferences. Through continuous analysis of user interactions and performance, these systems can identify areas of difficulty and provide targeted interventions. This adaptability allows learners to progress at their own pace, reinforcing concepts where needed and advancing swiftly through mastered content.</w:t>
      </w:r>
    </w:p>
    <w:p w14:paraId="7A83FE44" w14:textId="77777777" w:rsidR="000F1F8C" w:rsidRPr="00B82202" w:rsidRDefault="000F1F8C" w:rsidP="007D005B">
      <w:pPr>
        <w:pStyle w:val="2nd"/>
      </w:pPr>
      <w:r w:rsidRPr="00B82202">
        <w:t>The customization and tailoring of educational content within adaptive learning technologies extend beyond pacing. Content can be presented in various formats, such as text, audio, or multimedia, to accommodate diverse learning styles. Moreover, adaptive systems can generate real-time feedback and assessments, allowing learners to gauge their understanding and receive immediate support or guidance.</w:t>
      </w:r>
    </w:p>
    <w:p w14:paraId="0A1271F6" w14:textId="77777777" w:rsidR="000F1F8C" w:rsidRPr="00B82202" w:rsidRDefault="000F1F8C" w:rsidP="007D005B">
      <w:pPr>
        <w:pStyle w:val="2nd"/>
      </w:pPr>
      <w:r w:rsidRPr="00B82202">
        <w:t>Customization is not limited to the delivery of content but extends to the selection of learning materials and resources. Adaptive learning technologies can recommend additional readings, exercises, or multimedia resources based on learners' individual needs and preferences.</w:t>
      </w:r>
    </w:p>
    <w:p w14:paraId="2F0E3B45" w14:textId="77777777" w:rsidR="000F1F8C" w:rsidRPr="00B82202" w:rsidRDefault="000F1F8C" w:rsidP="007D005B">
      <w:pPr>
        <w:pStyle w:val="Last"/>
      </w:pPr>
      <w:r w:rsidRPr="00B82202">
        <w:t>In essence, adaptive learning technologies revolutionize the educational landscape by prioritizing individualized learning experiences. By tailoring content delivery, pacing, and supplementary resources, these technologies empower learners to engage with educational materials in a way that aligns with their unique learning profiles, fostering a more effective and personalized educational journey.</w:t>
      </w:r>
    </w:p>
    <w:p w14:paraId="50048036" w14:textId="77777777" w:rsidR="000F1F8C" w:rsidRPr="00B82202" w:rsidRDefault="000F1F8C" w:rsidP="000F1F8C">
      <w:pPr>
        <w:spacing w:after="0" w:line="276" w:lineRule="auto"/>
        <w:jc w:val="both"/>
        <w:rPr>
          <w:rFonts w:ascii="Amasis MT Pro Light" w:hAnsi="Amasis MT Pro Light"/>
        </w:rPr>
      </w:pPr>
    </w:p>
    <w:p w14:paraId="57B77B29" w14:textId="77777777" w:rsidR="000F1F8C" w:rsidRPr="00B82202" w:rsidRDefault="000F1F8C" w:rsidP="00C16517">
      <w:pPr>
        <w:spacing w:after="0" w:line="276" w:lineRule="auto"/>
        <w:jc w:val="both"/>
        <w:rPr>
          <w:rFonts w:ascii="Amasis MT Pro Light" w:hAnsi="Amasis MT Pro Light"/>
        </w:rPr>
      </w:pPr>
      <w:r w:rsidRPr="00B82202">
        <w:rPr>
          <w:rFonts w:ascii="Amasis MT Pro Light" w:hAnsi="Amasis MT Pro Light"/>
          <w:b/>
          <w:bCs/>
        </w:rPr>
        <w:t>Pedagogical Innovations</w:t>
      </w:r>
    </w:p>
    <w:p w14:paraId="34FCA677" w14:textId="16152A48" w:rsidR="000F1F8C" w:rsidRPr="00B82202" w:rsidRDefault="000F1F8C" w:rsidP="00C16517">
      <w:pPr>
        <w:pStyle w:val="1st"/>
      </w:pPr>
      <w:r w:rsidRPr="00B82202">
        <w:t xml:space="preserve">Effective strategies for online instruction are essential for creating engaging and participatory virtual learning environments. Facilitating active learning in virtual classrooms requires </w:t>
      </w:r>
      <w:r w:rsidR="006F6323" w:rsidRPr="00B82202">
        <w:t xml:space="preserve">the </w:t>
      </w:r>
      <w:r w:rsidRPr="00B82202">
        <w:t>intentional design and implementation of instructional approaches that promote student interaction and engagement.</w:t>
      </w:r>
    </w:p>
    <w:p w14:paraId="7F12A216" w14:textId="77777777" w:rsidR="000F1F8C" w:rsidRPr="00B82202" w:rsidRDefault="000F1F8C" w:rsidP="00C16517">
      <w:pPr>
        <w:pStyle w:val="2nd"/>
      </w:pPr>
      <w:r w:rsidRPr="00B82202">
        <w:t>Incorporating multimedia elements, such as videos, simulations, and interactive presentations, enhances the visual and auditory appeal of online instruction. Encouraging real-time discussions through virtual platforms and chat features fosters active participation and collaborative learning. Utilizing breakout sessions for group activities and projects allows students to interact and apply their knowledge in a collaborative setting.</w:t>
      </w:r>
    </w:p>
    <w:p w14:paraId="3F132E77" w14:textId="77777777" w:rsidR="000F1F8C" w:rsidRPr="00B82202" w:rsidRDefault="000F1F8C" w:rsidP="00C16517">
      <w:pPr>
        <w:pStyle w:val="2nd"/>
      </w:pPr>
      <w:r w:rsidRPr="00B82202">
        <w:t>In addition, providing clear instructions and expectations, coupled with regular feedback and assessment, ensures that students remain aligned with the learning objectives. Implementing varied assessment methods, such as quizzes, discussions, and projects, caters to diverse learning styles and keeps learners actively involved.</w:t>
      </w:r>
    </w:p>
    <w:p w14:paraId="03BE5A84" w14:textId="77777777" w:rsidR="000F1F8C" w:rsidRPr="00B82202" w:rsidRDefault="000F1F8C" w:rsidP="00C16517">
      <w:pPr>
        <w:pStyle w:val="Last"/>
      </w:pPr>
      <w:r w:rsidRPr="00B82202">
        <w:t>Creating a sense of community through virtual office hours, discussion forums, and collaborative projects fosters student engagement and a supportive learning environment. By employing these effective strategies, instructors can optimize online instruction, promoting active learning and meaningful interactions in virtual classrooms.</w:t>
      </w:r>
    </w:p>
    <w:p w14:paraId="39B3F7DC" w14:textId="77777777" w:rsidR="00F74B01" w:rsidRPr="00B82202" w:rsidRDefault="00F74B01" w:rsidP="00C16517">
      <w:pPr>
        <w:pStyle w:val="Last"/>
      </w:pPr>
    </w:p>
    <w:p w14:paraId="66D89243" w14:textId="77777777" w:rsidR="000F1F8C" w:rsidRPr="00B82202" w:rsidRDefault="000F1F8C" w:rsidP="00C16517">
      <w:pPr>
        <w:spacing w:after="0" w:line="276" w:lineRule="auto"/>
        <w:jc w:val="both"/>
        <w:rPr>
          <w:rFonts w:ascii="Amasis MT Pro Light" w:hAnsi="Amasis MT Pro Light"/>
        </w:rPr>
      </w:pPr>
      <w:r w:rsidRPr="00B82202">
        <w:rPr>
          <w:rFonts w:ascii="Amasis MT Pro Light" w:hAnsi="Amasis MT Pro Light"/>
          <w:b/>
          <w:bCs/>
        </w:rPr>
        <w:t>Global Trends and Cultural Considerations</w:t>
      </w:r>
    </w:p>
    <w:p w14:paraId="1D700782" w14:textId="77777777" w:rsidR="000F1F8C" w:rsidRPr="00B82202" w:rsidRDefault="000F1F8C" w:rsidP="00C16517">
      <w:pPr>
        <w:pStyle w:val="1st"/>
        <w:spacing w:after="100"/>
      </w:pPr>
      <w:r w:rsidRPr="00B82202">
        <w:t xml:space="preserve">International perspectives on distance learning highlight the global reach and impact of online education, transcending geographical boundaries. As individuals from diverse cultural backgrounds engage in distance learning, </w:t>
      </w:r>
      <w:r w:rsidRPr="00B82202">
        <w:lastRenderedPageBreak/>
        <w:t>unique challenges and adaptations emerge. Cross-cultural considerations play a pivotal role in shaping the effectiveness and inclusivity of distance education.</w:t>
      </w:r>
    </w:p>
    <w:p w14:paraId="48D85409" w14:textId="77777777" w:rsidR="000F1F8C" w:rsidRPr="00B82202" w:rsidRDefault="000F1F8C" w:rsidP="00C16517">
      <w:pPr>
        <w:pStyle w:val="2nd"/>
        <w:spacing w:after="100"/>
      </w:pPr>
      <w:r w:rsidRPr="00B82202">
        <w:t>Cultural nuances, language diversity, and varying educational norms present challenges that educators and institutions must navigate. Adapting content to be culturally sensitive and inclusive becomes imperative to ensure relevance and engagement for learners from different parts of the world. Moreover, addressing time zone differences and accommodating diverse communication styles contribute to fostering a globally inclusive distance learning environment.</w:t>
      </w:r>
    </w:p>
    <w:p w14:paraId="1EA97ED9" w14:textId="77777777" w:rsidR="000F1F8C" w:rsidRPr="00B82202" w:rsidRDefault="000F1F8C" w:rsidP="00C16517">
      <w:pPr>
        <w:pStyle w:val="Last"/>
      </w:pPr>
      <w:r w:rsidRPr="00B82202">
        <w:t>International perspectives on distance learning not only underscore the challenges but also emphasize the richness of cultural diversity in educational experiences. Through thoughtful adaptations, institutions can create an inclusive and culturally responsive learning environment that embraces the global nature of distance education, fostering collaboration and mutual understanding among learners from different cultural contexts.</w:t>
      </w:r>
    </w:p>
    <w:p w14:paraId="5087012D" w14:textId="77777777" w:rsidR="00C16517" w:rsidRPr="00B82202" w:rsidRDefault="00C16517" w:rsidP="00C16517">
      <w:pPr>
        <w:spacing w:after="0" w:line="276" w:lineRule="auto"/>
        <w:jc w:val="both"/>
        <w:rPr>
          <w:rFonts w:ascii="Amasis MT Pro Light" w:hAnsi="Amasis MT Pro Light"/>
          <w:b/>
          <w:bCs/>
        </w:rPr>
      </w:pPr>
    </w:p>
    <w:p w14:paraId="6773FDDB" w14:textId="4D22F111" w:rsidR="000F1F8C" w:rsidRPr="00B82202" w:rsidRDefault="000F1F8C" w:rsidP="00C16517">
      <w:pPr>
        <w:spacing w:after="0" w:line="276" w:lineRule="auto"/>
        <w:jc w:val="both"/>
        <w:rPr>
          <w:rFonts w:ascii="Amasis MT Pro Light" w:hAnsi="Amasis MT Pro Light"/>
        </w:rPr>
      </w:pPr>
      <w:r w:rsidRPr="00B82202">
        <w:rPr>
          <w:rFonts w:ascii="Amasis MT Pro Light" w:hAnsi="Amasis MT Pro Light"/>
          <w:b/>
          <w:bCs/>
        </w:rPr>
        <w:t>Professional Development for Distance Educators</w:t>
      </w:r>
    </w:p>
    <w:p w14:paraId="67DEAF25" w14:textId="77777777" w:rsidR="000F1F8C" w:rsidRPr="00B82202" w:rsidRDefault="000F1F8C" w:rsidP="00C16517">
      <w:pPr>
        <w:pStyle w:val="1st"/>
        <w:spacing w:after="100"/>
      </w:pPr>
      <w:r w:rsidRPr="00B82202">
        <w:t>Training and support for online instructors are crucial components in ensuring the success of virtual education. Instructors must receive comprehensive training in effective online teaching methodologies, technological tools, and platform navigation. Ongoing professional development programs help instructors stay abreast of evolving trends and innovations in online education. Additionally, robust technical support systems are essential to address any issues promptly, ensuring a seamless teaching experience. By investing in the training and support of online instructors, educational institutions can enhance the quality of virtual instruction and contribute to the overall success of online learning programs.</w:t>
      </w:r>
    </w:p>
    <w:p w14:paraId="64F2108E" w14:textId="77777777" w:rsidR="000F1F8C" w:rsidRPr="00B82202" w:rsidRDefault="000F1F8C" w:rsidP="00C16517">
      <w:pPr>
        <w:pStyle w:val="Last"/>
      </w:pPr>
      <w:r w:rsidRPr="00B82202">
        <w:t>Building a community of practice in virtual spaces is vital for fostering collaboration and knowledge sharing among online educators. Through virtual forums, discussion boards, and collaborative platforms, instructors can connect, exchange insights, and share best practices. This sense of community promotes a collective learning environment, enabling educators to stay informed about effective strategies, technological advancements, and emerging trends in online education. This collaborative approach contributes to the continuous improvement of online teaching practices and enhances the overall quality of virtual education.</w:t>
      </w:r>
    </w:p>
    <w:p w14:paraId="357209ED" w14:textId="77777777" w:rsidR="000F1F8C" w:rsidRPr="00B82202" w:rsidRDefault="000F1F8C" w:rsidP="000F1F8C">
      <w:pPr>
        <w:spacing w:after="0" w:line="276" w:lineRule="auto"/>
        <w:jc w:val="both"/>
        <w:rPr>
          <w:rFonts w:ascii="Amasis MT Pro Light" w:hAnsi="Amasis MT Pro Light"/>
        </w:rPr>
      </w:pPr>
    </w:p>
    <w:p w14:paraId="72F3A9FA" w14:textId="77777777" w:rsidR="000F1F8C" w:rsidRPr="00B82202" w:rsidRDefault="000F1F8C" w:rsidP="00C16517">
      <w:pPr>
        <w:spacing w:after="0" w:line="276" w:lineRule="auto"/>
        <w:jc w:val="both"/>
        <w:rPr>
          <w:rFonts w:ascii="Amasis MT Pro Light" w:hAnsi="Amasis MT Pro Light"/>
        </w:rPr>
      </w:pPr>
      <w:r w:rsidRPr="00B82202">
        <w:rPr>
          <w:rFonts w:ascii="Amasis MT Pro Light" w:hAnsi="Amasis MT Pro Light"/>
          <w:b/>
          <w:bCs/>
        </w:rPr>
        <w:t>Future Directions and Emerging Innovations</w:t>
      </w:r>
    </w:p>
    <w:p w14:paraId="08CCD6B5" w14:textId="2C6CDAEB" w:rsidR="000F1F8C" w:rsidRPr="00B82202" w:rsidRDefault="000F1F8C" w:rsidP="00C16517">
      <w:pPr>
        <w:pStyle w:val="1st"/>
        <w:spacing w:after="100"/>
      </w:pPr>
      <w:r w:rsidRPr="00B82202">
        <w:t>The future of distance learning holds exciting possibilities</w:t>
      </w:r>
      <w:r w:rsidR="006F6323" w:rsidRPr="00B82202">
        <w:t>,</w:t>
      </w:r>
      <w:r w:rsidRPr="00B82202">
        <w:t xml:space="preserve"> with emerging innovations reshaping the landscape of online education. One notable trend is the increasing integration of Artificial Intelligence (AI) to personalize learning experiences further. AI algorithms can analyze individual learning patterns, adapting content delivery and assessments to cater to each learner's unique needs.</w:t>
      </w:r>
    </w:p>
    <w:p w14:paraId="2E105D59" w14:textId="77777777" w:rsidR="000F1F8C" w:rsidRPr="00B82202" w:rsidRDefault="000F1F8C" w:rsidP="00C16517">
      <w:pPr>
        <w:pStyle w:val="2nd"/>
      </w:pPr>
      <w:r w:rsidRPr="00B82202">
        <w:t>Another future direction is the advancement of immersive technologies like Virtual Reality (VR) and Augmented Reality (AR) in distance learning. These technologies offer realistic simulations and interactive experiences, enhancing practical training and hands-on learning, especially in fields like science and healthcare.</w:t>
      </w:r>
    </w:p>
    <w:p w14:paraId="724F8033" w14:textId="5FD4BDAE" w:rsidR="000F1F8C" w:rsidRPr="00B82202" w:rsidRDefault="000F1F8C" w:rsidP="00C16517">
      <w:pPr>
        <w:pStyle w:val="2nd"/>
      </w:pPr>
      <w:r w:rsidRPr="00B82202">
        <w:t>The rise of blockchain technology is also influencing the credentialing and certification aspect of distance education. Blockchain can provide secure, verifiable records of academic achievements, enhancing the credibility and transferability of online credentials.</w:t>
      </w:r>
    </w:p>
    <w:p w14:paraId="6EF619F0" w14:textId="77777777" w:rsidR="000F1F8C" w:rsidRPr="00B82202" w:rsidRDefault="000F1F8C" w:rsidP="00C16517">
      <w:pPr>
        <w:pStyle w:val="2nd"/>
      </w:pPr>
      <w:r w:rsidRPr="00B82202">
        <w:t>Moreover, the future of distance learning is likely to witness increased emphasis on social learning and collaborative platforms. Integrating more interactive features, such as virtual study groups, collaborative projects, and peer-to-peer learning, will contribute to a more engaging and community-driven online educational experience.</w:t>
      </w:r>
    </w:p>
    <w:p w14:paraId="3521C264" w14:textId="77777777" w:rsidR="000F1F8C" w:rsidRPr="00B82202" w:rsidRDefault="000F1F8C" w:rsidP="00C16517">
      <w:pPr>
        <w:pStyle w:val="Last"/>
      </w:pPr>
      <w:r w:rsidRPr="00B82202">
        <w:lastRenderedPageBreak/>
        <w:t>As technology continues to evolve, the future of distance learning promises a dynamic and learner-centric environment, leveraging innovations to provide more personalized, interactive, and globally accessible educational opportunities.</w:t>
      </w:r>
    </w:p>
    <w:p w14:paraId="1F011D6D" w14:textId="77777777" w:rsidR="000F1F8C" w:rsidRPr="00B82202" w:rsidRDefault="000F1F8C" w:rsidP="000F1F8C">
      <w:pPr>
        <w:spacing w:after="0" w:line="276" w:lineRule="auto"/>
        <w:jc w:val="both"/>
        <w:rPr>
          <w:rFonts w:ascii="Amasis MT Pro Light" w:hAnsi="Amasis MT Pro Light"/>
          <w:sz w:val="18"/>
          <w:szCs w:val="18"/>
        </w:rPr>
      </w:pPr>
    </w:p>
    <w:p w14:paraId="08D29958" w14:textId="77777777" w:rsidR="000F1F8C" w:rsidRPr="00B82202" w:rsidRDefault="000F1F8C" w:rsidP="00C16517">
      <w:pPr>
        <w:pStyle w:val="Main"/>
      </w:pPr>
      <w:r w:rsidRPr="00B82202">
        <w:t>Conclusion</w:t>
      </w:r>
    </w:p>
    <w:p w14:paraId="5CDC642F" w14:textId="77777777" w:rsidR="000F1F8C" w:rsidRPr="00B82202" w:rsidRDefault="000F1F8C" w:rsidP="00C16517">
      <w:pPr>
        <w:pStyle w:val="1st"/>
      </w:pPr>
      <w:r w:rsidRPr="00B82202">
        <w:t>In conclusion, the exploration of trends and innovations in the prospects of distance learning reveals a dynamic and transformative landscape in contemporary education. The journey through various dimensions of distance learning, from historical evolution to emerging innovations, emphasizes the multifaceted nature of this educational paradigm.</w:t>
      </w:r>
    </w:p>
    <w:p w14:paraId="23D4D001" w14:textId="77777777" w:rsidR="000F1F8C" w:rsidRPr="00B82202" w:rsidRDefault="000F1F8C" w:rsidP="00C16517">
      <w:pPr>
        <w:pStyle w:val="2nd"/>
        <w:spacing w:after="100"/>
      </w:pPr>
      <w:r w:rsidRPr="00B82202">
        <w:t>The introduction highlighted the background and context of distance learning, underscoring its significance in addressing the evolving needs of contemporary education. As revealed through the literature review, the historical overview and previous research provide a foundation for understanding the trajectory and scholarly discourse surrounding distance learning.</w:t>
      </w:r>
    </w:p>
    <w:p w14:paraId="49CE8B15" w14:textId="77777777" w:rsidR="000F1F8C" w:rsidRPr="00B82202" w:rsidRDefault="000F1F8C" w:rsidP="00C16517">
      <w:pPr>
        <w:pStyle w:val="2nd"/>
        <w:spacing w:after="100"/>
      </w:pPr>
      <w:r w:rsidRPr="00B82202">
        <w:t>Technological advancements have played a pivotal role, with the integration of Artificial Intelligence (AI) and immersive technologies like Virtual Reality (VR) and Augmented Reality (AR) enhancing the quality of online education. Blended learning models, including hybrid approaches and the effectiveness of diverse strategies, exemplify the adaptability and versatility demanded by diverse educational settings.</w:t>
      </w:r>
    </w:p>
    <w:p w14:paraId="7686BCC3" w14:textId="77777777" w:rsidR="000F1F8C" w:rsidRPr="00B82202" w:rsidRDefault="000F1F8C" w:rsidP="00C16517">
      <w:pPr>
        <w:pStyle w:val="2nd"/>
        <w:spacing w:after="100"/>
      </w:pPr>
      <w:r w:rsidRPr="00B82202">
        <w:t>Mobile learning (m-learning) and the utilization of mobile applications demonstrate the commitment to accessibility and flexibility in education, overcoming geographical barriers and providing learning opportunities on the go. Open Educational Resources (OER) contribute to the democratization of education but pose challenges that necessitate careful consideration.</w:t>
      </w:r>
    </w:p>
    <w:p w14:paraId="0665F74E" w14:textId="77777777" w:rsidR="000F1F8C" w:rsidRPr="00B82202" w:rsidRDefault="000F1F8C" w:rsidP="00C16517">
      <w:pPr>
        <w:pStyle w:val="2nd"/>
        <w:spacing w:after="100"/>
      </w:pPr>
      <w:r w:rsidRPr="00B82202">
        <w:t>Gamification in distance learning adds a layer of engagement through game-based learning strategies, positively influencing motivation and learning outcomes. Personalized learning environments, facilitated by adaptive learning technologies and customization of content, address individual learning needs and preferences.</w:t>
      </w:r>
    </w:p>
    <w:p w14:paraId="273B0DB6" w14:textId="77777777" w:rsidR="000F1F8C" w:rsidRPr="00B82202" w:rsidRDefault="000F1F8C" w:rsidP="00C16517">
      <w:pPr>
        <w:pStyle w:val="2nd"/>
        <w:spacing w:after="100"/>
      </w:pPr>
      <w:r w:rsidRPr="00B82202">
        <w:t>Assessment and evaluation innovations, along with effective pedagogical strategies for online instruction and active learning in virtual classrooms, ensure a holistic approach to student engagement and success. Global trends and cultural considerations underscore the international perspectives on distance learning, acknowledging the importance of cross-cultural adaptations.</w:t>
      </w:r>
    </w:p>
    <w:p w14:paraId="048BF53E" w14:textId="77777777" w:rsidR="000F1F8C" w:rsidRPr="00B82202" w:rsidRDefault="000F1F8C" w:rsidP="00C16517">
      <w:pPr>
        <w:pStyle w:val="2nd"/>
        <w:spacing w:after="100"/>
      </w:pPr>
      <w:r w:rsidRPr="00B82202">
        <w:t>Professional development for distance educators, including training, support, and community-building initiatives, is essential for sustaining the quality of online instruction. Challenges related to equity, access, and technological limitations highlight areas for continuous improvement.</w:t>
      </w:r>
    </w:p>
    <w:p w14:paraId="66E71025" w14:textId="77777777" w:rsidR="000F1F8C" w:rsidRPr="00B82202" w:rsidRDefault="000F1F8C" w:rsidP="00C16517">
      <w:pPr>
        <w:pStyle w:val="Last"/>
      </w:pPr>
      <w:r w:rsidRPr="00B82202">
        <w:t>Looking ahead, future directions and emerging innovations point towards predictions for the evolution of distance learning, emphasizing the anticipated advancements in technology and pedagogy. This comprehensive exploration demonstrates the resilience and adaptability of distance learning, positioning it as a powerful force in shaping the future of education.</w:t>
      </w:r>
    </w:p>
    <w:p w14:paraId="49633E0C" w14:textId="77777777" w:rsidR="000F1F8C" w:rsidRPr="00B82202" w:rsidRDefault="000F1F8C" w:rsidP="000F1F8C">
      <w:pPr>
        <w:spacing w:after="0" w:line="276" w:lineRule="auto"/>
        <w:jc w:val="both"/>
        <w:rPr>
          <w:rFonts w:ascii="Amasis MT Pro Light" w:hAnsi="Amasis MT Pro Light"/>
          <w:sz w:val="18"/>
          <w:szCs w:val="18"/>
        </w:rPr>
      </w:pPr>
    </w:p>
    <w:p w14:paraId="7F502DB2" w14:textId="77777777" w:rsidR="000F1F8C" w:rsidRPr="00B82202" w:rsidRDefault="000F1F8C" w:rsidP="00C16517">
      <w:pPr>
        <w:pStyle w:val="Main"/>
      </w:pPr>
      <w:r w:rsidRPr="00B82202">
        <w:t>Recommendations</w:t>
      </w:r>
    </w:p>
    <w:p w14:paraId="41F5EF9D" w14:textId="77777777" w:rsidR="000F1F8C" w:rsidRPr="00B82202" w:rsidRDefault="000F1F8C" w:rsidP="00C16517">
      <w:pPr>
        <w:pStyle w:val="ListParagraph"/>
        <w:numPr>
          <w:ilvl w:val="2"/>
          <w:numId w:val="8"/>
        </w:numPr>
        <w:spacing w:after="0" w:line="276" w:lineRule="auto"/>
        <w:ind w:left="540"/>
        <w:jc w:val="both"/>
        <w:rPr>
          <w:rFonts w:ascii="Amasis MT Pro Light" w:hAnsi="Amasis MT Pro Light"/>
        </w:rPr>
      </w:pPr>
      <w:r w:rsidRPr="00B82202">
        <w:rPr>
          <w:rFonts w:ascii="Amasis MT Pro Light" w:hAnsi="Amasis MT Pro Light"/>
        </w:rPr>
        <w:t>Ensure that educational institutions contemplating distance learning initiatives thoroughly assess their readiness, considering infrastructure, faculty training, and technological capabilities.</w:t>
      </w:r>
    </w:p>
    <w:p w14:paraId="12F62DE2" w14:textId="77777777" w:rsidR="000F1F8C" w:rsidRPr="00B82202" w:rsidRDefault="000F1F8C" w:rsidP="00C16517">
      <w:pPr>
        <w:pStyle w:val="ListParagraph"/>
        <w:numPr>
          <w:ilvl w:val="2"/>
          <w:numId w:val="8"/>
        </w:numPr>
        <w:spacing w:after="0" w:line="276" w:lineRule="auto"/>
        <w:ind w:left="540"/>
        <w:jc w:val="both"/>
        <w:rPr>
          <w:rFonts w:ascii="Amasis MT Pro Light" w:hAnsi="Amasis MT Pro Light"/>
        </w:rPr>
      </w:pPr>
      <w:r w:rsidRPr="00B82202">
        <w:rPr>
          <w:rFonts w:ascii="Amasis MT Pro Light" w:hAnsi="Amasis MT Pro Light"/>
        </w:rPr>
        <w:t>Institutes should invest in ongoing and comprehensive professional development programs for educators, focusing on both technological proficiency and effective online instructional strategies.</w:t>
      </w:r>
    </w:p>
    <w:p w14:paraId="094AF466" w14:textId="77777777" w:rsidR="000F1F8C" w:rsidRPr="00B82202" w:rsidRDefault="000F1F8C" w:rsidP="00C16517">
      <w:pPr>
        <w:pStyle w:val="ListParagraph"/>
        <w:numPr>
          <w:ilvl w:val="2"/>
          <w:numId w:val="8"/>
        </w:numPr>
        <w:spacing w:after="0" w:line="276" w:lineRule="auto"/>
        <w:ind w:left="540"/>
        <w:jc w:val="both"/>
        <w:rPr>
          <w:rFonts w:ascii="Amasis MT Pro Light" w:hAnsi="Amasis MT Pro Light"/>
        </w:rPr>
      </w:pPr>
      <w:r w:rsidRPr="00B82202">
        <w:rPr>
          <w:rFonts w:ascii="Amasis MT Pro Light" w:hAnsi="Amasis MT Pro Light"/>
        </w:rPr>
        <w:lastRenderedPageBreak/>
        <w:t>Develop strategies to address diversity and inclusion challenges, considering cultural nuances and adapting content to cater to a global audience, fostering a more inclusive learning environment.</w:t>
      </w:r>
    </w:p>
    <w:p w14:paraId="1B8E9080" w14:textId="77777777" w:rsidR="000F1F8C" w:rsidRPr="00B82202" w:rsidRDefault="000F1F8C" w:rsidP="00C16517">
      <w:pPr>
        <w:pStyle w:val="ListParagraph"/>
        <w:numPr>
          <w:ilvl w:val="2"/>
          <w:numId w:val="8"/>
        </w:numPr>
        <w:spacing w:after="0" w:line="276" w:lineRule="auto"/>
        <w:ind w:left="540"/>
        <w:jc w:val="both"/>
        <w:rPr>
          <w:rFonts w:ascii="Amasis MT Pro Light" w:hAnsi="Amasis MT Pro Light"/>
        </w:rPr>
      </w:pPr>
      <w:r w:rsidRPr="00B82202">
        <w:rPr>
          <w:rFonts w:ascii="Amasis MT Pro Light" w:hAnsi="Amasis MT Pro Light"/>
        </w:rPr>
        <w:t>Support the integration of hybrid learning models, allowing for a blend of in-person and virtual instruction to cater to diverse learning preferences and provide flexibility for students.</w:t>
      </w:r>
    </w:p>
    <w:p w14:paraId="474A2EC1" w14:textId="77777777" w:rsidR="000F1F8C" w:rsidRPr="00B82202" w:rsidRDefault="000F1F8C" w:rsidP="00C16517">
      <w:pPr>
        <w:pStyle w:val="ListParagraph"/>
        <w:numPr>
          <w:ilvl w:val="2"/>
          <w:numId w:val="8"/>
        </w:numPr>
        <w:spacing w:after="0" w:line="276" w:lineRule="auto"/>
        <w:ind w:left="540"/>
        <w:jc w:val="both"/>
        <w:rPr>
          <w:rFonts w:ascii="Amasis MT Pro Light" w:hAnsi="Amasis MT Pro Light"/>
        </w:rPr>
      </w:pPr>
      <w:r w:rsidRPr="00B82202">
        <w:rPr>
          <w:rFonts w:ascii="Amasis MT Pro Light" w:hAnsi="Amasis MT Pro Light"/>
        </w:rPr>
        <w:t>Improve the accessibility and functionality of mobile learning platforms, ensuring that educational content is optimized for various devices and network conditions to facilitate learning on the go.</w:t>
      </w:r>
    </w:p>
    <w:p w14:paraId="03F07B0F" w14:textId="77777777" w:rsidR="000F1F8C" w:rsidRPr="00B82202" w:rsidRDefault="000F1F8C" w:rsidP="00C16517">
      <w:pPr>
        <w:pStyle w:val="ListParagraph"/>
        <w:numPr>
          <w:ilvl w:val="2"/>
          <w:numId w:val="8"/>
        </w:numPr>
        <w:spacing w:after="0" w:line="276" w:lineRule="auto"/>
        <w:ind w:left="540"/>
        <w:jc w:val="both"/>
        <w:rPr>
          <w:rFonts w:ascii="Amasis MT Pro Light" w:hAnsi="Amasis MT Pro Light"/>
        </w:rPr>
      </w:pPr>
      <w:r w:rsidRPr="00B82202">
        <w:rPr>
          <w:rFonts w:ascii="Amasis MT Pro Light" w:hAnsi="Amasis MT Pro Light"/>
        </w:rPr>
        <w:t>Explore and integrate gamification elements into distance learning platforms to enhance engagement, motivation, and learning outcomes for students.</w:t>
      </w:r>
    </w:p>
    <w:p w14:paraId="3BAD92DD" w14:textId="77777777" w:rsidR="000F1F8C" w:rsidRPr="00B82202" w:rsidRDefault="000F1F8C" w:rsidP="00C16517">
      <w:pPr>
        <w:pStyle w:val="ListParagraph"/>
        <w:numPr>
          <w:ilvl w:val="2"/>
          <w:numId w:val="8"/>
        </w:numPr>
        <w:spacing w:after="0" w:line="276" w:lineRule="auto"/>
        <w:ind w:left="540"/>
        <w:jc w:val="both"/>
        <w:rPr>
          <w:rFonts w:ascii="Amasis MT Pro Light" w:hAnsi="Amasis MT Pro Light"/>
        </w:rPr>
      </w:pPr>
      <w:r w:rsidRPr="00B82202">
        <w:rPr>
          <w:rFonts w:ascii="Amasis MT Pro Light" w:hAnsi="Amasis MT Pro Light"/>
        </w:rPr>
        <w:t>Invest in adaptive learning technologies and provide extensive support for their implementation, ensuring that these technologies effectively address individual learning needs and preferences.</w:t>
      </w:r>
    </w:p>
    <w:p w14:paraId="0CE80CC4" w14:textId="77777777" w:rsidR="000F1F8C" w:rsidRPr="00B82202" w:rsidRDefault="000F1F8C" w:rsidP="00C16517">
      <w:pPr>
        <w:pStyle w:val="ListParagraph"/>
        <w:numPr>
          <w:ilvl w:val="2"/>
          <w:numId w:val="8"/>
        </w:numPr>
        <w:spacing w:after="0" w:line="276" w:lineRule="auto"/>
        <w:ind w:left="540"/>
        <w:jc w:val="both"/>
        <w:rPr>
          <w:rFonts w:ascii="Amasis MT Pro Light" w:hAnsi="Amasis MT Pro Light"/>
        </w:rPr>
      </w:pPr>
      <w:r w:rsidRPr="00B82202">
        <w:rPr>
          <w:rFonts w:ascii="Amasis MT Pro Light" w:hAnsi="Amasis MT Pro Light"/>
        </w:rPr>
        <w:t>Develop clear and transparent assessment policies for remote evaluations, incorporating effective technological tools while ensuring the integrity and security of assessments.</w:t>
      </w:r>
    </w:p>
    <w:p w14:paraId="3D3E84EF" w14:textId="77777777" w:rsidR="000F1F8C" w:rsidRPr="00B82202" w:rsidRDefault="000F1F8C" w:rsidP="00C16517">
      <w:pPr>
        <w:pStyle w:val="ListParagraph"/>
        <w:numPr>
          <w:ilvl w:val="2"/>
          <w:numId w:val="8"/>
        </w:numPr>
        <w:spacing w:after="120" w:line="276" w:lineRule="auto"/>
        <w:ind w:left="540"/>
        <w:jc w:val="both"/>
        <w:rPr>
          <w:rFonts w:ascii="Amasis MT Pro Light" w:hAnsi="Amasis MT Pro Light"/>
        </w:rPr>
      </w:pPr>
      <w:r w:rsidRPr="00B82202">
        <w:rPr>
          <w:rFonts w:ascii="Amasis MT Pro Light" w:hAnsi="Amasis MT Pro Light"/>
        </w:rPr>
        <w:t>Encourage educators and institutions to undergo cross-cultural competency training to better understand and navigate the cultural considerations associated with international perspectives on distance learning.</w:t>
      </w:r>
    </w:p>
    <w:p w14:paraId="6D12C304" w14:textId="77777777" w:rsidR="000F1F8C" w:rsidRPr="00B82202" w:rsidRDefault="000F1F8C" w:rsidP="000F1F8C">
      <w:pPr>
        <w:spacing w:after="0" w:line="276" w:lineRule="auto"/>
        <w:jc w:val="both"/>
        <w:rPr>
          <w:rFonts w:ascii="Amasis MT Pro Light" w:hAnsi="Amasis MT Pro Light"/>
        </w:rPr>
      </w:pPr>
      <w:r w:rsidRPr="00B82202">
        <w:rPr>
          <w:rFonts w:ascii="Amasis MT Pro Light" w:hAnsi="Amasis MT Pro Light"/>
        </w:rPr>
        <w:t>These recommendations collectively aim to enhance the effectiveness, inclusivity, and quality of distance learning initiatives, fostering a more resilient and adaptable education system for the future.</w:t>
      </w:r>
    </w:p>
    <w:p w14:paraId="70235A84" w14:textId="77777777" w:rsidR="00FE45B2" w:rsidRPr="00B82202" w:rsidRDefault="00FE45B2">
      <w:pPr>
        <w:rPr>
          <w:rFonts w:ascii="Amasis MT Pro Light" w:hAnsi="Amasis MT Pro Light"/>
          <w:b/>
          <w:bCs/>
        </w:rPr>
      </w:pPr>
      <w:r w:rsidRPr="00B82202">
        <w:rPr>
          <w:rFonts w:ascii="Amasis MT Pro Light" w:hAnsi="Amasis MT Pro Light"/>
          <w:b/>
          <w:bCs/>
        </w:rPr>
        <w:br w:type="page"/>
      </w:r>
    </w:p>
    <w:p w14:paraId="4E7A844B" w14:textId="5D49B7F7" w:rsidR="000F1F8C" w:rsidRDefault="000F1F8C" w:rsidP="00C16517">
      <w:pPr>
        <w:spacing w:after="0" w:line="276" w:lineRule="auto"/>
        <w:jc w:val="both"/>
        <w:rPr>
          <w:rFonts w:ascii="Amasis MT Pro Light" w:hAnsi="Amasis MT Pro Light"/>
        </w:rPr>
      </w:pPr>
      <w:r w:rsidRPr="000F1F8C">
        <w:rPr>
          <w:rFonts w:ascii="Amasis MT Pro Light" w:hAnsi="Amasis MT Pro Light"/>
          <w:b/>
          <w:bCs/>
        </w:rPr>
        <w:lastRenderedPageBreak/>
        <w:t>References</w:t>
      </w:r>
    </w:p>
    <w:p w14:paraId="7F7BEB28" w14:textId="77777777" w:rsidR="00C16517" w:rsidRPr="00443182" w:rsidRDefault="00C16517" w:rsidP="00C16517">
      <w:pPr>
        <w:spacing w:after="0" w:line="276" w:lineRule="auto"/>
        <w:ind w:left="720" w:hanging="720"/>
        <w:jc w:val="both"/>
        <w:rPr>
          <w:rFonts w:ascii="Amasis MT Pro Light" w:hAnsi="Amasis MT Pro Light"/>
        </w:rPr>
      </w:pPr>
      <w:bookmarkStart w:id="0" w:name="Abeywardena"/>
      <w:r w:rsidRPr="00C16517">
        <w:rPr>
          <w:rFonts w:ascii="Amasis MT Pro Light" w:hAnsi="Amasis MT Pro Light"/>
        </w:rPr>
        <w:t>Abeywardena</w:t>
      </w:r>
      <w:bookmarkEnd w:id="0"/>
      <w:r w:rsidRPr="00C16517">
        <w:rPr>
          <w:rFonts w:ascii="Amasis MT Pro Light" w:hAnsi="Amasis MT Pro Light"/>
        </w:rPr>
        <w:t>, I. S., Chan, C. S., &amp; Tham, C. Y. (2013). OERScout technology framework: A novel approach to open educational resources search. </w:t>
      </w:r>
      <w:r w:rsidRPr="00C16517">
        <w:rPr>
          <w:rFonts w:ascii="Amasis MT Pro Light" w:hAnsi="Amasis MT Pro Light"/>
          <w:i/>
          <w:iCs/>
        </w:rPr>
        <w:t>The International Review of Research in Open and Distributed Learning</w:t>
      </w:r>
      <w:r w:rsidRPr="00C16517">
        <w:rPr>
          <w:rFonts w:ascii="Amasis MT Pro Light" w:hAnsi="Amasis MT Pro Light"/>
        </w:rPr>
        <w:t>, </w:t>
      </w:r>
      <w:r w:rsidRPr="00C16517">
        <w:rPr>
          <w:rFonts w:ascii="Amasis MT Pro Light" w:hAnsi="Amasis MT Pro Light"/>
          <w:i/>
          <w:iCs/>
        </w:rPr>
        <w:t>14</w:t>
      </w:r>
      <w:r w:rsidRPr="00C16517">
        <w:rPr>
          <w:rFonts w:ascii="Amasis MT Pro Light" w:hAnsi="Amasis MT Pro Light"/>
        </w:rPr>
        <w:t>(4). </w:t>
      </w:r>
      <w:hyperlink r:id="rId8" w:history="1">
        <w:r w:rsidRPr="00443182">
          <w:rPr>
            <w:rStyle w:val="Hyperlink"/>
            <w:rFonts w:ascii="Amasis MT Pro Light" w:hAnsi="Amasis MT Pro Light"/>
          </w:rPr>
          <w:t>https://doi.org/10.19173/irrodl.v14i4.1505</w:t>
        </w:r>
      </w:hyperlink>
    </w:p>
    <w:p w14:paraId="2B68943D" w14:textId="77777777" w:rsidR="00C16517" w:rsidRPr="00C16517" w:rsidRDefault="00C16517" w:rsidP="00C16517">
      <w:pPr>
        <w:spacing w:after="0" w:line="276" w:lineRule="auto"/>
        <w:ind w:left="720" w:hanging="720"/>
        <w:jc w:val="both"/>
        <w:rPr>
          <w:rFonts w:ascii="Amasis MT Pro Light" w:hAnsi="Amasis MT Pro Light"/>
        </w:rPr>
      </w:pPr>
      <w:bookmarkStart w:id="1" w:name="Ayala"/>
      <w:r w:rsidRPr="00C16517">
        <w:rPr>
          <w:rFonts w:ascii="Amasis MT Pro Light" w:hAnsi="Amasis MT Pro Light"/>
        </w:rPr>
        <w:t>Ayala</w:t>
      </w:r>
      <w:bookmarkEnd w:id="1"/>
      <w:r w:rsidRPr="00C16517">
        <w:rPr>
          <w:rFonts w:ascii="Amasis MT Pro Light" w:hAnsi="Amasis MT Pro Light"/>
        </w:rPr>
        <w:t xml:space="preserve">, J. S. (2009). BLENDED LEARNING AS A NEW APPROACH TO SOCIAL WORK EDUCATION. </w:t>
      </w:r>
      <w:r w:rsidRPr="00C16517">
        <w:rPr>
          <w:rFonts w:ascii="Amasis MT Pro Light" w:hAnsi="Amasis MT Pro Light"/>
          <w:i/>
          <w:iCs/>
        </w:rPr>
        <w:t>Journal of Social Work Education</w:t>
      </w:r>
      <w:r w:rsidRPr="00C16517">
        <w:rPr>
          <w:rFonts w:ascii="Amasis MT Pro Light" w:hAnsi="Amasis MT Pro Light"/>
        </w:rPr>
        <w:t xml:space="preserve">, </w:t>
      </w:r>
      <w:r w:rsidRPr="00C16517">
        <w:rPr>
          <w:rFonts w:ascii="Amasis MT Pro Light" w:hAnsi="Amasis MT Pro Light"/>
          <w:i/>
          <w:iCs/>
        </w:rPr>
        <w:t>45</w:t>
      </w:r>
      <w:r w:rsidRPr="00C16517">
        <w:rPr>
          <w:rFonts w:ascii="Amasis MT Pro Light" w:hAnsi="Amasis MT Pro Light"/>
        </w:rPr>
        <w:t xml:space="preserve">(2), 277–288. </w:t>
      </w:r>
      <w:hyperlink r:id="rId9" w:history="1">
        <w:r w:rsidRPr="00C16517">
          <w:rPr>
            <w:rStyle w:val="Hyperlink"/>
            <w:rFonts w:ascii="Amasis MT Pro Light" w:hAnsi="Amasis MT Pro Light"/>
          </w:rPr>
          <w:t>http://www.jstor.org/stable/23044310</w:t>
        </w:r>
      </w:hyperlink>
    </w:p>
    <w:p w14:paraId="660BA081" w14:textId="77777777" w:rsidR="00C16517" w:rsidRPr="00C16517" w:rsidRDefault="00C16517" w:rsidP="00C16517">
      <w:pPr>
        <w:spacing w:after="0" w:line="276" w:lineRule="auto"/>
        <w:ind w:left="720" w:hanging="720"/>
        <w:jc w:val="both"/>
        <w:rPr>
          <w:rFonts w:ascii="Amasis MT Pro Light" w:hAnsi="Amasis MT Pro Light"/>
        </w:rPr>
      </w:pPr>
      <w:bookmarkStart w:id="2" w:name="Bağcı"/>
      <w:proofErr w:type="spellStart"/>
      <w:r w:rsidRPr="00C16517">
        <w:rPr>
          <w:rFonts w:ascii="Amasis MT Pro Light" w:hAnsi="Amasis MT Pro Light"/>
        </w:rPr>
        <w:t>Bağcı</w:t>
      </w:r>
      <w:bookmarkEnd w:id="2"/>
      <w:proofErr w:type="spellEnd"/>
      <w:r w:rsidRPr="00C16517">
        <w:rPr>
          <w:rFonts w:ascii="Amasis MT Pro Light" w:hAnsi="Amasis MT Pro Light"/>
        </w:rPr>
        <w:t xml:space="preserve">, H., &amp; </w:t>
      </w:r>
      <w:proofErr w:type="spellStart"/>
      <w:r w:rsidRPr="00C16517">
        <w:rPr>
          <w:rFonts w:ascii="Amasis MT Pro Light" w:hAnsi="Amasis MT Pro Light"/>
        </w:rPr>
        <w:t>Pekşen</w:t>
      </w:r>
      <w:proofErr w:type="spellEnd"/>
      <w:r w:rsidRPr="00C16517">
        <w:rPr>
          <w:rFonts w:ascii="Amasis MT Pro Light" w:hAnsi="Amasis MT Pro Light"/>
        </w:rPr>
        <w:t>, M. F. (2018). Investigating the Smart Phone Addictions of Vocational School Students from Different Variables. </w:t>
      </w:r>
      <w:r w:rsidRPr="00C16517">
        <w:rPr>
          <w:rFonts w:ascii="Amasis MT Pro Light" w:hAnsi="Amasis MT Pro Light"/>
          <w:i/>
          <w:iCs/>
        </w:rPr>
        <w:t>Malaysian Online Journal of Educational Technology</w:t>
      </w:r>
      <w:r w:rsidRPr="00C16517">
        <w:rPr>
          <w:rFonts w:ascii="Amasis MT Pro Light" w:hAnsi="Amasis MT Pro Light"/>
        </w:rPr>
        <w:t>, </w:t>
      </w:r>
      <w:r w:rsidRPr="00C16517">
        <w:rPr>
          <w:rFonts w:ascii="Amasis MT Pro Light" w:hAnsi="Amasis MT Pro Light"/>
          <w:i/>
          <w:iCs/>
        </w:rPr>
        <w:t>6</w:t>
      </w:r>
      <w:r w:rsidRPr="00C16517">
        <w:rPr>
          <w:rFonts w:ascii="Amasis MT Pro Light" w:hAnsi="Amasis MT Pro Light"/>
        </w:rPr>
        <w:t>(4), 40–52. </w:t>
      </w:r>
      <w:hyperlink r:id="rId10" w:history="1">
        <w:r w:rsidRPr="00C16517">
          <w:rPr>
            <w:rStyle w:val="Hyperlink"/>
            <w:rFonts w:ascii="Amasis MT Pro Light" w:hAnsi="Amasis MT Pro Light"/>
          </w:rPr>
          <w:t>https://doi.org/10.17220/mojet.2018.04.004</w:t>
        </w:r>
      </w:hyperlink>
    </w:p>
    <w:p w14:paraId="6719657A" w14:textId="2688531F" w:rsidR="00C16517" w:rsidRPr="00C16517" w:rsidRDefault="00C16517" w:rsidP="00C16517">
      <w:pPr>
        <w:spacing w:after="0" w:line="276" w:lineRule="auto"/>
        <w:ind w:left="720" w:hanging="720"/>
        <w:jc w:val="both"/>
        <w:rPr>
          <w:rFonts w:ascii="Amasis MT Pro Light" w:hAnsi="Amasis MT Pro Light"/>
        </w:rPr>
      </w:pPr>
      <w:bookmarkStart w:id="3" w:name="Chen"/>
      <w:r w:rsidRPr="00C16517">
        <w:rPr>
          <w:rFonts w:ascii="Amasis MT Pro Light" w:hAnsi="Amasis MT Pro Light"/>
        </w:rPr>
        <w:t>Chen</w:t>
      </w:r>
      <w:bookmarkEnd w:id="3"/>
      <w:r w:rsidRPr="00C16517">
        <w:rPr>
          <w:rFonts w:ascii="Amasis MT Pro Light" w:hAnsi="Amasis MT Pro Light"/>
        </w:rPr>
        <w:t>, C., Liu, C., &amp; Chang, M. (2006). Personalized curriculum sequencing utilizing modified item response theory for web-based instruction. </w:t>
      </w:r>
      <w:r w:rsidRPr="00C16517">
        <w:rPr>
          <w:rFonts w:ascii="Amasis MT Pro Light" w:hAnsi="Amasis MT Pro Light"/>
          <w:i/>
          <w:iCs/>
        </w:rPr>
        <w:t>Expert Systems with Applications</w:t>
      </w:r>
      <w:r w:rsidRPr="00C16517">
        <w:rPr>
          <w:rFonts w:ascii="Amasis MT Pro Light" w:hAnsi="Amasis MT Pro Light"/>
        </w:rPr>
        <w:t>, </w:t>
      </w:r>
      <w:r w:rsidRPr="00C16517">
        <w:rPr>
          <w:rFonts w:ascii="Amasis MT Pro Light" w:hAnsi="Amasis MT Pro Light"/>
          <w:i/>
          <w:iCs/>
        </w:rPr>
        <w:t>30</w:t>
      </w:r>
      <w:r w:rsidRPr="00C16517">
        <w:rPr>
          <w:rFonts w:ascii="Amasis MT Pro Light" w:hAnsi="Amasis MT Pro Light"/>
        </w:rPr>
        <w:t>(2), 378-396. </w:t>
      </w:r>
      <w:hyperlink r:id="rId11" w:history="1">
        <w:r w:rsidRPr="00C16517">
          <w:rPr>
            <w:rStyle w:val="Hyperlink"/>
            <w:rFonts w:ascii="Amasis MT Pro Light" w:hAnsi="Amasis MT Pro Light"/>
          </w:rPr>
          <w:t>https://doi.org/10.1016/j.eswa.2005.07.029</w:t>
        </w:r>
      </w:hyperlink>
    </w:p>
    <w:p w14:paraId="5456F9BF" w14:textId="77777777" w:rsidR="00C16517" w:rsidRPr="00C16517" w:rsidRDefault="00C16517" w:rsidP="00C16517">
      <w:pPr>
        <w:spacing w:after="0" w:line="276" w:lineRule="auto"/>
        <w:ind w:left="720" w:hanging="720"/>
        <w:jc w:val="both"/>
        <w:rPr>
          <w:rFonts w:ascii="Amasis MT Pro Light" w:hAnsi="Amasis MT Pro Light"/>
        </w:rPr>
      </w:pPr>
      <w:bookmarkStart w:id="4" w:name="Clark"/>
      <w:r w:rsidRPr="00C16517">
        <w:rPr>
          <w:rFonts w:ascii="Amasis MT Pro Light" w:hAnsi="Amasis MT Pro Light"/>
        </w:rPr>
        <w:t>Clark</w:t>
      </w:r>
      <w:bookmarkEnd w:id="4"/>
      <w:r w:rsidRPr="00C16517">
        <w:rPr>
          <w:rFonts w:ascii="Amasis MT Pro Light" w:hAnsi="Amasis MT Pro Light"/>
        </w:rPr>
        <w:t>, J. T. (2020). Distance education. In </w:t>
      </w:r>
      <w:r w:rsidRPr="00C16517">
        <w:rPr>
          <w:rFonts w:ascii="Amasis MT Pro Light" w:hAnsi="Amasis MT Pro Light"/>
          <w:i/>
          <w:iCs/>
        </w:rPr>
        <w:t>Elsevier eBooks</w:t>
      </w:r>
      <w:r w:rsidRPr="00C16517">
        <w:rPr>
          <w:rFonts w:ascii="Amasis MT Pro Light" w:hAnsi="Amasis MT Pro Light"/>
        </w:rPr>
        <w:t> (pp. 410–415). </w:t>
      </w:r>
      <w:hyperlink r:id="rId12" w:history="1">
        <w:r w:rsidRPr="00C16517">
          <w:rPr>
            <w:rStyle w:val="Hyperlink"/>
            <w:rFonts w:ascii="Amasis MT Pro Light" w:hAnsi="Amasis MT Pro Light"/>
          </w:rPr>
          <w:t>https://doi.org/10.1016/b978-0-12-813467-2.00063-8</w:t>
        </w:r>
      </w:hyperlink>
    </w:p>
    <w:p w14:paraId="27B7FAF7" w14:textId="77777777" w:rsidR="00C16517" w:rsidRPr="00C16517" w:rsidRDefault="00C16517" w:rsidP="00C16517">
      <w:pPr>
        <w:spacing w:after="0" w:line="276" w:lineRule="auto"/>
        <w:ind w:left="720" w:hanging="720"/>
        <w:jc w:val="both"/>
        <w:rPr>
          <w:rFonts w:ascii="Amasis MT Pro Light" w:hAnsi="Amasis MT Pro Light"/>
        </w:rPr>
      </w:pPr>
      <w:bookmarkStart w:id="5" w:name="Commander"/>
      <w:r w:rsidRPr="00C16517">
        <w:rPr>
          <w:rFonts w:ascii="Amasis MT Pro Light" w:hAnsi="Amasis MT Pro Light"/>
        </w:rPr>
        <w:t>Commander</w:t>
      </w:r>
      <w:bookmarkEnd w:id="5"/>
      <w:r w:rsidRPr="00C16517">
        <w:rPr>
          <w:rFonts w:ascii="Amasis MT Pro Light" w:hAnsi="Amasis MT Pro Light"/>
        </w:rPr>
        <w:t>, N. E., Zhao, Y., Gallagher, P. A., &amp; You, Y. (2012). Promoting cross-cultural understanding of education through online discussions. </w:t>
      </w:r>
      <w:r w:rsidRPr="00C16517">
        <w:rPr>
          <w:rFonts w:ascii="Amasis MT Pro Light" w:hAnsi="Amasis MT Pro Light"/>
          <w:i/>
          <w:iCs/>
        </w:rPr>
        <w:t>Procedia - Social and Behavioral Sciences</w:t>
      </w:r>
      <w:r w:rsidRPr="00C16517">
        <w:rPr>
          <w:rFonts w:ascii="Amasis MT Pro Light" w:hAnsi="Amasis MT Pro Light"/>
        </w:rPr>
        <w:t>, </w:t>
      </w:r>
      <w:r w:rsidRPr="00C16517">
        <w:rPr>
          <w:rFonts w:ascii="Amasis MT Pro Light" w:hAnsi="Amasis MT Pro Light"/>
          <w:i/>
          <w:iCs/>
        </w:rPr>
        <w:t>46</w:t>
      </w:r>
      <w:r w:rsidRPr="00C16517">
        <w:rPr>
          <w:rFonts w:ascii="Amasis MT Pro Light" w:hAnsi="Amasis MT Pro Light"/>
        </w:rPr>
        <w:t>, 4632–4642. </w:t>
      </w:r>
      <w:hyperlink r:id="rId13" w:history="1">
        <w:r w:rsidRPr="00C16517">
          <w:rPr>
            <w:rStyle w:val="Hyperlink"/>
            <w:rFonts w:ascii="Amasis MT Pro Light" w:hAnsi="Amasis MT Pro Light"/>
          </w:rPr>
          <w:t>https://doi.org/10.1016/j.sbspro.2012.06.310</w:t>
        </w:r>
      </w:hyperlink>
    </w:p>
    <w:p w14:paraId="5823A2C1" w14:textId="77777777" w:rsidR="00C16517" w:rsidRPr="00C16517" w:rsidRDefault="00C16517" w:rsidP="00C16517">
      <w:pPr>
        <w:spacing w:after="0" w:line="276" w:lineRule="auto"/>
        <w:ind w:left="720" w:hanging="720"/>
        <w:jc w:val="both"/>
        <w:rPr>
          <w:rFonts w:ascii="Amasis MT Pro Light" w:hAnsi="Amasis MT Pro Light"/>
        </w:rPr>
      </w:pPr>
      <w:bookmarkStart w:id="6" w:name="Criollo"/>
      <w:r w:rsidRPr="00C16517">
        <w:rPr>
          <w:rFonts w:ascii="Amasis MT Pro Light" w:hAnsi="Amasis MT Pro Light"/>
        </w:rPr>
        <w:t>Criollo</w:t>
      </w:r>
      <w:bookmarkEnd w:id="6"/>
      <w:r w:rsidRPr="00C16517">
        <w:rPr>
          <w:rFonts w:ascii="Amasis MT Pro Light" w:hAnsi="Amasis MT Pro Light"/>
        </w:rPr>
        <w:t>-C, S., Guerrero-Arias, A., Jaramillo-</w:t>
      </w:r>
      <w:proofErr w:type="spellStart"/>
      <w:r w:rsidRPr="00C16517">
        <w:rPr>
          <w:rFonts w:ascii="Amasis MT Pro Light" w:hAnsi="Amasis MT Pro Light"/>
        </w:rPr>
        <w:t>Alcázar</w:t>
      </w:r>
      <w:proofErr w:type="spellEnd"/>
      <w:r w:rsidRPr="00C16517">
        <w:rPr>
          <w:rFonts w:ascii="Amasis MT Pro Light" w:hAnsi="Amasis MT Pro Light"/>
        </w:rPr>
        <w:t xml:space="preserve">, Á., &amp; </w:t>
      </w:r>
      <w:proofErr w:type="spellStart"/>
      <w:r w:rsidRPr="00C16517">
        <w:rPr>
          <w:rFonts w:ascii="Amasis MT Pro Light" w:hAnsi="Amasis MT Pro Light"/>
        </w:rPr>
        <w:t>Luján</w:t>
      </w:r>
      <w:proofErr w:type="spellEnd"/>
      <w:r w:rsidRPr="00C16517">
        <w:rPr>
          <w:rFonts w:ascii="Amasis MT Pro Light" w:hAnsi="Amasis MT Pro Light"/>
        </w:rPr>
        <w:t>-Mora, S. (2021). Mobile learning Technologies for Education: benefits and pending issues. </w:t>
      </w:r>
      <w:r w:rsidRPr="00C16517">
        <w:rPr>
          <w:rFonts w:ascii="Amasis MT Pro Light" w:hAnsi="Amasis MT Pro Light"/>
          <w:i/>
          <w:iCs/>
        </w:rPr>
        <w:t>Applied Sciences</w:t>
      </w:r>
      <w:r w:rsidRPr="00C16517">
        <w:rPr>
          <w:rFonts w:ascii="Amasis MT Pro Light" w:hAnsi="Amasis MT Pro Light"/>
        </w:rPr>
        <w:t>, </w:t>
      </w:r>
      <w:r w:rsidRPr="00C16517">
        <w:rPr>
          <w:rFonts w:ascii="Amasis MT Pro Light" w:hAnsi="Amasis MT Pro Light"/>
          <w:i/>
          <w:iCs/>
        </w:rPr>
        <w:t>11</w:t>
      </w:r>
      <w:r w:rsidRPr="00C16517">
        <w:rPr>
          <w:rFonts w:ascii="Amasis MT Pro Light" w:hAnsi="Amasis MT Pro Light"/>
        </w:rPr>
        <w:t>(9), 4111. </w:t>
      </w:r>
      <w:hyperlink r:id="rId14" w:history="1">
        <w:r w:rsidRPr="00C16517">
          <w:rPr>
            <w:rStyle w:val="Hyperlink"/>
            <w:rFonts w:ascii="Amasis MT Pro Light" w:hAnsi="Amasis MT Pro Light"/>
          </w:rPr>
          <w:t>https://doi.org/10.3390/app11094111</w:t>
        </w:r>
      </w:hyperlink>
    </w:p>
    <w:p w14:paraId="6A27BBD3" w14:textId="77777777" w:rsidR="00C16517" w:rsidRPr="00C16517" w:rsidRDefault="00C16517" w:rsidP="00C16517">
      <w:pPr>
        <w:spacing w:after="0" w:line="276" w:lineRule="auto"/>
        <w:ind w:left="720" w:hanging="720"/>
        <w:jc w:val="both"/>
        <w:rPr>
          <w:rFonts w:ascii="Amasis MT Pro Light" w:hAnsi="Amasis MT Pro Light"/>
        </w:rPr>
      </w:pPr>
      <w:bookmarkStart w:id="7" w:name="Cunningham"/>
      <w:r w:rsidRPr="00C16517">
        <w:rPr>
          <w:rFonts w:ascii="Amasis MT Pro Light" w:hAnsi="Amasis MT Pro Light"/>
        </w:rPr>
        <w:t>Cunningham</w:t>
      </w:r>
      <w:bookmarkEnd w:id="7"/>
      <w:r w:rsidRPr="00C16517">
        <w:rPr>
          <w:rFonts w:ascii="Amasis MT Pro Light" w:hAnsi="Amasis MT Pro Light"/>
        </w:rPr>
        <w:t>, P. D. (2017). Bridging the distance: using interactive communication tools to make online education more social. </w:t>
      </w:r>
      <w:r w:rsidRPr="00C16517">
        <w:rPr>
          <w:rFonts w:ascii="Amasis MT Pro Light" w:hAnsi="Amasis MT Pro Light"/>
          <w:i/>
          <w:iCs/>
        </w:rPr>
        <w:t>Library Trends</w:t>
      </w:r>
      <w:r w:rsidRPr="00C16517">
        <w:rPr>
          <w:rFonts w:ascii="Amasis MT Pro Light" w:hAnsi="Amasis MT Pro Light"/>
        </w:rPr>
        <w:t>, </w:t>
      </w:r>
      <w:r w:rsidRPr="00C16517">
        <w:rPr>
          <w:rFonts w:ascii="Amasis MT Pro Light" w:hAnsi="Amasis MT Pro Light"/>
          <w:i/>
          <w:iCs/>
        </w:rPr>
        <w:t>65</w:t>
      </w:r>
      <w:r w:rsidRPr="00C16517">
        <w:rPr>
          <w:rFonts w:ascii="Amasis MT Pro Light" w:hAnsi="Amasis MT Pro Light"/>
        </w:rPr>
        <w:t>(4), 589–613. </w:t>
      </w:r>
      <w:hyperlink r:id="rId15" w:history="1">
        <w:r w:rsidRPr="00C16517">
          <w:rPr>
            <w:rStyle w:val="Hyperlink"/>
            <w:rFonts w:ascii="Amasis MT Pro Light" w:hAnsi="Amasis MT Pro Light"/>
          </w:rPr>
          <w:t>https://doi.org/10.1353/lib.2017.0020</w:t>
        </w:r>
      </w:hyperlink>
    </w:p>
    <w:p w14:paraId="115D7535" w14:textId="77777777" w:rsidR="00C16517" w:rsidRPr="00C16517" w:rsidRDefault="00C16517" w:rsidP="00C16517">
      <w:pPr>
        <w:spacing w:after="0" w:line="276" w:lineRule="auto"/>
        <w:ind w:left="720" w:hanging="720"/>
        <w:jc w:val="both"/>
        <w:rPr>
          <w:rFonts w:ascii="Amasis MT Pro Light" w:hAnsi="Amasis MT Pro Light"/>
        </w:rPr>
      </w:pPr>
      <w:bookmarkStart w:id="8" w:name="Dichev"/>
      <w:proofErr w:type="spellStart"/>
      <w:r w:rsidRPr="00C16517">
        <w:rPr>
          <w:rFonts w:ascii="Amasis MT Pro Light" w:hAnsi="Amasis MT Pro Light"/>
        </w:rPr>
        <w:t>Dichev</w:t>
      </w:r>
      <w:bookmarkEnd w:id="8"/>
      <w:proofErr w:type="spellEnd"/>
      <w:r w:rsidRPr="00C16517">
        <w:rPr>
          <w:rFonts w:ascii="Amasis MT Pro Light" w:hAnsi="Amasis MT Pro Light"/>
        </w:rPr>
        <w:t xml:space="preserve">, C., &amp; </w:t>
      </w:r>
      <w:proofErr w:type="spellStart"/>
      <w:r w:rsidRPr="00C16517">
        <w:rPr>
          <w:rFonts w:ascii="Amasis MT Pro Light" w:hAnsi="Amasis MT Pro Light"/>
        </w:rPr>
        <w:t>Dicheva</w:t>
      </w:r>
      <w:proofErr w:type="spellEnd"/>
      <w:r w:rsidRPr="00C16517">
        <w:rPr>
          <w:rFonts w:ascii="Amasis MT Pro Light" w:hAnsi="Amasis MT Pro Light"/>
        </w:rPr>
        <w:t>, D. (2017). Gamifying education: what is known, what is believed and what remains uncertain: a critical review. </w:t>
      </w:r>
      <w:r w:rsidRPr="00C16517">
        <w:rPr>
          <w:rFonts w:ascii="Amasis MT Pro Light" w:hAnsi="Amasis MT Pro Light"/>
          <w:i/>
          <w:iCs/>
        </w:rPr>
        <w:t>International Journal of Educational Technology in Higher Education</w:t>
      </w:r>
      <w:r w:rsidRPr="00C16517">
        <w:rPr>
          <w:rFonts w:ascii="Amasis MT Pro Light" w:hAnsi="Amasis MT Pro Light"/>
        </w:rPr>
        <w:t>, </w:t>
      </w:r>
      <w:r w:rsidRPr="00C16517">
        <w:rPr>
          <w:rFonts w:ascii="Amasis MT Pro Light" w:hAnsi="Amasis MT Pro Light"/>
          <w:i/>
          <w:iCs/>
        </w:rPr>
        <w:t>14</w:t>
      </w:r>
      <w:r w:rsidRPr="00C16517">
        <w:rPr>
          <w:rFonts w:ascii="Amasis MT Pro Light" w:hAnsi="Amasis MT Pro Light"/>
        </w:rPr>
        <w:t>(1). </w:t>
      </w:r>
      <w:hyperlink r:id="rId16" w:history="1">
        <w:r w:rsidRPr="00C16517">
          <w:rPr>
            <w:rStyle w:val="Hyperlink"/>
            <w:rFonts w:ascii="Amasis MT Pro Light" w:hAnsi="Amasis MT Pro Light"/>
          </w:rPr>
          <w:t>https://doi.org/10.1186/s41239-017-0042-5</w:t>
        </w:r>
      </w:hyperlink>
    </w:p>
    <w:p w14:paraId="496626C7" w14:textId="77777777" w:rsidR="00C16517" w:rsidRPr="00C16517" w:rsidRDefault="00C16517" w:rsidP="00C16517">
      <w:pPr>
        <w:spacing w:after="0" w:line="276" w:lineRule="auto"/>
        <w:ind w:left="720" w:hanging="720"/>
        <w:jc w:val="both"/>
        <w:rPr>
          <w:rFonts w:ascii="Amasis MT Pro Light" w:hAnsi="Amasis MT Pro Light"/>
        </w:rPr>
      </w:pPr>
      <w:bookmarkStart w:id="9" w:name="Donnelly"/>
      <w:r w:rsidRPr="00C16517">
        <w:rPr>
          <w:rFonts w:ascii="Amasis MT Pro Light" w:hAnsi="Amasis MT Pro Light"/>
        </w:rPr>
        <w:t>Donnelly</w:t>
      </w:r>
      <w:bookmarkEnd w:id="9"/>
      <w:r w:rsidRPr="00C16517">
        <w:rPr>
          <w:rFonts w:ascii="Amasis MT Pro Light" w:hAnsi="Amasis MT Pro Light"/>
        </w:rPr>
        <w:t>, R. (2010). Harmonizing technology with interaction in blended problem-based learning. </w:t>
      </w:r>
      <w:r w:rsidRPr="00C16517">
        <w:rPr>
          <w:rFonts w:ascii="Amasis MT Pro Light" w:hAnsi="Amasis MT Pro Light"/>
          <w:i/>
          <w:iCs/>
        </w:rPr>
        <w:t>Computers &amp; Education</w:t>
      </w:r>
      <w:r w:rsidRPr="00C16517">
        <w:rPr>
          <w:rFonts w:ascii="Amasis MT Pro Light" w:hAnsi="Amasis MT Pro Light"/>
        </w:rPr>
        <w:t>, </w:t>
      </w:r>
      <w:r w:rsidRPr="00C16517">
        <w:rPr>
          <w:rFonts w:ascii="Amasis MT Pro Light" w:hAnsi="Amasis MT Pro Light"/>
          <w:i/>
          <w:iCs/>
        </w:rPr>
        <w:t>54</w:t>
      </w:r>
      <w:r w:rsidRPr="00C16517">
        <w:rPr>
          <w:rFonts w:ascii="Amasis MT Pro Light" w:hAnsi="Amasis MT Pro Light"/>
        </w:rPr>
        <w:t>(2), 350–359. </w:t>
      </w:r>
      <w:hyperlink r:id="rId17" w:history="1">
        <w:r w:rsidRPr="00C16517">
          <w:rPr>
            <w:rStyle w:val="Hyperlink"/>
            <w:rFonts w:ascii="Amasis MT Pro Light" w:hAnsi="Amasis MT Pro Light"/>
          </w:rPr>
          <w:t>https://doi.org/10.1016/j.compedu.2009.08.012</w:t>
        </w:r>
      </w:hyperlink>
    </w:p>
    <w:p w14:paraId="6EEA86CB" w14:textId="77777777" w:rsidR="00C16517" w:rsidRPr="00C16517" w:rsidRDefault="00C16517" w:rsidP="00C16517">
      <w:pPr>
        <w:spacing w:after="0" w:line="276" w:lineRule="auto"/>
        <w:ind w:left="720" w:hanging="720"/>
        <w:jc w:val="both"/>
        <w:rPr>
          <w:rFonts w:ascii="Amasis MT Pro Light" w:hAnsi="Amasis MT Pro Light"/>
        </w:rPr>
      </w:pPr>
      <w:bookmarkStart w:id="10" w:name="Holmberg"/>
      <w:r w:rsidRPr="00C16517">
        <w:rPr>
          <w:rFonts w:ascii="Amasis MT Pro Light" w:hAnsi="Amasis MT Pro Light"/>
        </w:rPr>
        <w:t>Holmberg</w:t>
      </w:r>
      <w:bookmarkEnd w:id="10"/>
      <w:r w:rsidRPr="00C16517">
        <w:rPr>
          <w:rFonts w:ascii="Amasis MT Pro Light" w:hAnsi="Amasis MT Pro Light"/>
        </w:rPr>
        <w:t>, B. (1995). The evolution of the character and practice of distance education. </w:t>
      </w:r>
      <w:r w:rsidRPr="00C16517">
        <w:rPr>
          <w:rFonts w:ascii="Amasis MT Pro Light" w:hAnsi="Amasis MT Pro Light"/>
          <w:i/>
          <w:iCs/>
        </w:rPr>
        <w:t>Open Learning: The Journal of Open and Distance Learning</w:t>
      </w:r>
      <w:r w:rsidRPr="00C16517">
        <w:rPr>
          <w:rFonts w:ascii="Amasis MT Pro Light" w:hAnsi="Amasis MT Pro Light"/>
        </w:rPr>
        <w:t>, </w:t>
      </w:r>
      <w:r w:rsidRPr="00C16517">
        <w:rPr>
          <w:rFonts w:ascii="Amasis MT Pro Light" w:hAnsi="Amasis MT Pro Light"/>
          <w:i/>
          <w:iCs/>
        </w:rPr>
        <w:t>10</w:t>
      </w:r>
      <w:r w:rsidRPr="00C16517">
        <w:rPr>
          <w:rFonts w:ascii="Amasis MT Pro Light" w:hAnsi="Amasis MT Pro Light"/>
        </w:rPr>
        <w:t>(2), 47–53. </w:t>
      </w:r>
      <w:hyperlink r:id="rId18" w:history="1">
        <w:r w:rsidRPr="00C16517">
          <w:rPr>
            <w:rStyle w:val="Hyperlink"/>
            <w:rFonts w:ascii="Amasis MT Pro Light" w:hAnsi="Amasis MT Pro Light"/>
          </w:rPr>
          <w:t>https://doi.org/10.1080/0268051950100207</w:t>
        </w:r>
      </w:hyperlink>
    </w:p>
    <w:p w14:paraId="3642062B" w14:textId="77777777" w:rsidR="00C16517" w:rsidRPr="00C16517" w:rsidRDefault="00C16517" w:rsidP="00C16517">
      <w:pPr>
        <w:spacing w:after="0" w:line="276" w:lineRule="auto"/>
        <w:ind w:left="720" w:hanging="720"/>
        <w:jc w:val="both"/>
        <w:rPr>
          <w:rFonts w:ascii="Amasis MT Pro Light" w:hAnsi="Amasis MT Pro Light"/>
        </w:rPr>
      </w:pPr>
      <w:bookmarkStart w:id="11" w:name="Hsieh"/>
      <w:r w:rsidRPr="00C16517">
        <w:rPr>
          <w:rFonts w:ascii="Amasis MT Pro Light" w:hAnsi="Amasis MT Pro Light"/>
        </w:rPr>
        <w:t>Hsieh</w:t>
      </w:r>
      <w:bookmarkEnd w:id="11"/>
      <w:r w:rsidRPr="00C16517">
        <w:rPr>
          <w:rFonts w:ascii="Amasis MT Pro Light" w:hAnsi="Amasis MT Pro Light"/>
        </w:rPr>
        <w:t>, C. W., &amp; Chen, S. Y. (2016). A cognitive style perspective to handheld devices: customization vs. personalization. </w:t>
      </w:r>
      <w:r w:rsidRPr="00C16517">
        <w:rPr>
          <w:rFonts w:ascii="Amasis MT Pro Light" w:hAnsi="Amasis MT Pro Light"/>
          <w:i/>
          <w:iCs/>
        </w:rPr>
        <w:t>International Review of Research in Open and Distance Learning</w:t>
      </w:r>
      <w:r w:rsidRPr="00C16517">
        <w:rPr>
          <w:rFonts w:ascii="Amasis MT Pro Light" w:hAnsi="Amasis MT Pro Light"/>
        </w:rPr>
        <w:t>, </w:t>
      </w:r>
      <w:r w:rsidRPr="00C16517">
        <w:rPr>
          <w:rFonts w:ascii="Amasis MT Pro Light" w:hAnsi="Amasis MT Pro Light"/>
          <w:i/>
          <w:iCs/>
        </w:rPr>
        <w:t>17</w:t>
      </w:r>
      <w:r w:rsidRPr="00C16517">
        <w:rPr>
          <w:rFonts w:ascii="Amasis MT Pro Light" w:hAnsi="Amasis MT Pro Light"/>
        </w:rPr>
        <w:t>(1), 1–22. </w:t>
      </w:r>
      <w:hyperlink r:id="rId19" w:history="1">
        <w:r w:rsidRPr="00C16517">
          <w:rPr>
            <w:rStyle w:val="Hyperlink"/>
            <w:rFonts w:ascii="Amasis MT Pro Light" w:hAnsi="Amasis MT Pro Light"/>
          </w:rPr>
          <w:t>https://doi.org/10.19173/irrodl.v17i1.2168</w:t>
        </w:r>
      </w:hyperlink>
      <w:r w:rsidRPr="00C16517">
        <w:rPr>
          <w:rFonts w:ascii="Amasis MT Pro Light" w:hAnsi="Amasis MT Pro Light"/>
        </w:rPr>
        <w:t>.</w:t>
      </w:r>
    </w:p>
    <w:p w14:paraId="1DF3732B" w14:textId="77777777" w:rsidR="00C16517" w:rsidRPr="00C16517" w:rsidRDefault="00C16517" w:rsidP="00C16517">
      <w:pPr>
        <w:spacing w:after="0" w:line="276" w:lineRule="auto"/>
        <w:ind w:left="720" w:hanging="720"/>
        <w:jc w:val="both"/>
        <w:rPr>
          <w:rFonts w:ascii="Amasis MT Pro Light" w:hAnsi="Amasis MT Pro Light"/>
        </w:rPr>
      </w:pPr>
      <w:bookmarkStart w:id="12" w:name="Keengwe"/>
      <w:proofErr w:type="spellStart"/>
      <w:r w:rsidRPr="00C16517">
        <w:rPr>
          <w:rFonts w:ascii="Amasis MT Pro Light" w:hAnsi="Amasis MT Pro Light"/>
        </w:rPr>
        <w:t>Keengwe</w:t>
      </w:r>
      <w:bookmarkEnd w:id="12"/>
      <w:proofErr w:type="spellEnd"/>
      <w:r w:rsidRPr="00C16517">
        <w:rPr>
          <w:rFonts w:ascii="Amasis MT Pro Light" w:hAnsi="Amasis MT Pro Light"/>
        </w:rPr>
        <w:t xml:space="preserve">, J., &amp; </w:t>
      </w:r>
      <w:proofErr w:type="spellStart"/>
      <w:r w:rsidRPr="00C16517">
        <w:rPr>
          <w:rFonts w:ascii="Amasis MT Pro Light" w:hAnsi="Amasis MT Pro Light"/>
        </w:rPr>
        <w:t>Onchwari</w:t>
      </w:r>
      <w:proofErr w:type="spellEnd"/>
      <w:r w:rsidRPr="00C16517">
        <w:rPr>
          <w:rFonts w:ascii="Amasis MT Pro Light" w:hAnsi="Amasis MT Pro Light"/>
        </w:rPr>
        <w:t>, G. (2011). Fostering meaningful student learning through constructivist pedagogy and technology integration. </w:t>
      </w:r>
      <w:r w:rsidRPr="00C16517">
        <w:rPr>
          <w:rFonts w:ascii="Amasis MT Pro Light" w:hAnsi="Amasis MT Pro Light"/>
          <w:i/>
          <w:iCs/>
        </w:rPr>
        <w:t>International Journal of Information and Communication Technology Education</w:t>
      </w:r>
      <w:r w:rsidRPr="00C16517">
        <w:rPr>
          <w:rFonts w:ascii="Amasis MT Pro Light" w:hAnsi="Amasis MT Pro Light"/>
        </w:rPr>
        <w:t>, </w:t>
      </w:r>
      <w:r w:rsidRPr="00C16517">
        <w:rPr>
          <w:rFonts w:ascii="Amasis MT Pro Light" w:hAnsi="Amasis MT Pro Light"/>
          <w:i/>
          <w:iCs/>
        </w:rPr>
        <w:t>7</w:t>
      </w:r>
      <w:r w:rsidRPr="00C16517">
        <w:rPr>
          <w:rFonts w:ascii="Amasis MT Pro Light" w:hAnsi="Amasis MT Pro Light"/>
        </w:rPr>
        <w:t>(4), 1–10. </w:t>
      </w:r>
      <w:hyperlink r:id="rId20" w:history="1">
        <w:r w:rsidRPr="00C16517">
          <w:rPr>
            <w:rStyle w:val="Hyperlink"/>
            <w:rFonts w:ascii="Amasis MT Pro Light" w:hAnsi="Amasis MT Pro Light"/>
          </w:rPr>
          <w:t>https://doi.org/10.4018/jicte.2011100101</w:t>
        </w:r>
      </w:hyperlink>
    </w:p>
    <w:p w14:paraId="1F960068" w14:textId="77777777" w:rsidR="00C16517" w:rsidRPr="00C16517" w:rsidRDefault="00C16517" w:rsidP="00C16517">
      <w:pPr>
        <w:spacing w:after="0" w:line="276" w:lineRule="auto"/>
        <w:ind w:left="720" w:hanging="720"/>
        <w:jc w:val="both"/>
        <w:rPr>
          <w:rFonts w:ascii="Amasis MT Pro Light" w:hAnsi="Amasis MT Pro Light"/>
        </w:rPr>
      </w:pPr>
      <w:bookmarkStart w:id="13" w:name="Kinshuk"/>
      <w:r w:rsidRPr="00C16517">
        <w:rPr>
          <w:rFonts w:ascii="Amasis MT Pro Light" w:hAnsi="Amasis MT Pro Light"/>
        </w:rPr>
        <w:t>Kinshuk</w:t>
      </w:r>
      <w:bookmarkEnd w:id="13"/>
      <w:r w:rsidRPr="00C16517">
        <w:rPr>
          <w:rFonts w:ascii="Amasis MT Pro Light" w:hAnsi="Amasis MT Pro Light"/>
        </w:rPr>
        <w:t>, Hui-Wen Huang, Demetrios Sampson, &amp; Nian-Shing Chen. (2013). Trends in Educational Technology through the Lens of the Highly Cited Articles Published in the Journal of Educational Technology and Society. </w:t>
      </w:r>
      <w:r w:rsidRPr="00C16517">
        <w:rPr>
          <w:rFonts w:ascii="Amasis MT Pro Light" w:hAnsi="Amasis MT Pro Light"/>
          <w:i/>
          <w:iCs/>
        </w:rPr>
        <w:t>Journal of Educational Technology &amp; Society</w:t>
      </w:r>
      <w:r w:rsidRPr="00C16517">
        <w:rPr>
          <w:rFonts w:ascii="Amasis MT Pro Light" w:hAnsi="Amasis MT Pro Light"/>
        </w:rPr>
        <w:t>, </w:t>
      </w:r>
      <w:r w:rsidRPr="00C16517">
        <w:rPr>
          <w:rFonts w:ascii="Amasis MT Pro Light" w:hAnsi="Amasis MT Pro Light"/>
          <w:i/>
          <w:iCs/>
        </w:rPr>
        <w:t>16</w:t>
      </w:r>
      <w:r w:rsidRPr="00C16517">
        <w:rPr>
          <w:rFonts w:ascii="Amasis MT Pro Light" w:hAnsi="Amasis MT Pro Light"/>
        </w:rPr>
        <w:t xml:space="preserve">(2), 3–20. </w:t>
      </w:r>
      <w:hyperlink r:id="rId21" w:history="1">
        <w:r w:rsidRPr="00C16517">
          <w:rPr>
            <w:rStyle w:val="Hyperlink"/>
            <w:rFonts w:ascii="Amasis MT Pro Light" w:hAnsi="Amasis MT Pro Light"/>
          </w:rPr>
          <w:t>http://www.jstor.org/stable/jeductechsoci.16.2.3</w:t>
        </w:r>
      </w:hyperlink>
    </w:p>
    <w:p w14:paraId="589A49B5" w14:textId="77777777" w:rsidR="00C16517" w:rsidRPr="00C16517" w:rsidRDefault="00C16517" w:rsidP="00C16517">
      <w:pPr>
        <w:spacing w:after="0" w:line="276" w:lineRule="auto"/>
        <w:ind w:left="720" w:hanging="720"/>
        <w:jc w:val="both"/>
        <w:rPr>
          <w:rFonts w:ascii="Amasis MT Pro Light" w:hAnsi="Amasis MT Pro Light"/>
        </w:rPr>
      </w:pPr>
      <w:bookmarkStart w:id="14" w:name="Pistone"/>
      <w:r w:rsidRPr="00C16517">
        <w:rPr>
          <w:rFonts w:ascii="Amasis MT Pro Light" w:hAnsi="Amasis MT Pro Light"/>
        </w:rPr>
        <w:t>Pistone</w:t>
      </w:r>
      <w:bookmarkEnd w:id="14"/>
      <w:r w:rsidRPr="00C16517">
        <w:rPr>
          <w:rFonts w:ascii="Amasis MT Pro Light" w:hAnsi="Amasis MT Pro Light"/>
        </w:rPr>
        <w:t>, M. (2015). Law Schools and Technology: Where We Are and Where We Are Heading. </w:t>
      </w:r>
      <w:r w:rsidRPr="00C16517">
        <w:rPr>
          <w:rFonts w:ascii="Amasis MT Pro Light" w:hAnsi="Amasis MT Pro Light"/>
          <w:i/>
          <w:iCs/>
        </w:rPr>
        <w:t>Journal of Legal Education</w:t>
      </w:r>
      <w:r w:rsidRPr="00C16517">
        <w:rPr>
          <w:rFonts w:ascii="Amasis MT Pro Light" w:hAnsi="Amasis MT Pro Light"/>
        </w:rPr>
        <w:t>, </w:t>
      </w:r>
      <w:r w:rsidRPr="00C16517">
        <w:rPr>
          <w:rFonts w:ascii="Amasis MT Pro Light" w:hAnsi="Amasis MT Pro Light"/>
          <w:i/>
          <w:iCs/>
        </w:rPr>
        <w:t>64</w:t>
      </w:r>
      <w:r w:rsidRPr="00C16517">
        <w:rPr>
          <w:rFonts w:ascii="Amasis MT Pro Light" w:hAnsi="Amasis MT Pro Light"/>
        </w:rPr>
        <w:t xml:space="preserve">(4), 586–604. </w:t>
      </w:r>
      <w:hyperlink r:id="rId22" w:history="1">
        <w:r w:rsidRPr="00C16517">
          <w:rPr>
            <w:rStyle w:val="Hyperlink"/>
            <w:rFonts w:ascii="Amasis MT Pro Light" w:hAnsi="Amasis MT Pro Light"/>
          </w:rPr>
          <w:t>http://www.jstor.org/stable/24716714</w:t>
        </w:r>
      </w:hyperlink>
    </w:p>
    <w:p w14:paraId="320A79E0" w14:textId="77777777" w:rsidR="00C16517" w:rsidRPr="00C16517" w:rsidRDefault="00C16517" w:rsidP="00C16517">
      <w:pPr>
        <w:spacing w:after="0" w:line="276" w:lineRule="auto"/>
        <w:ind w:left="720" w:hanging="720"/>
        <w:jc w:val="both"/>
        <w:rPr>
          <w:rFonts w:ascii="Amasis MT Pro Light" w:hAnsi="Amasis MT Pro Light"/>
        </w:rPr>
      </w:pPr>
      <w:bookmarkStart w:id="15" w:name="Rahiem"/>
      <w:r w:rsidRPr="00C16517">
        <w:rPr>
          <w:rFonts w:ascii="Amasis MT Pro Light" w:hAnsi="Amasis MT Pro Light"/>
        </w:rPr>
        <w:t>Rahiem</w:t>
      </w:r>
      <w:bookmarkEnd w:id="15"/>
      <w:r w:rsidRPr="00C16517">
        <w:rPr>
          <w:rFonts w:ascii="Amasis MT Pro Light" w:hAnsi="Amasis MT Pro Light"/>
        </w:rPr>
        <w:t>, M. D. H. (2020). Technological Barriers and Challenges in the Use of ICT during the COVID-19 Emergency Remote Learning. </w:t>
      </w:r>
      <w:r w:rsidRPr="00C16517">
        <w:rPr>
          <w:rFonts w:ascii="Amasis MT Pro Light" w:hAnsi="Amasis MT Pro Light"/>
          <w:i/>
          <w:iCs/>
        </w:rPr>
        <w:t>Universal Journal of Educational Research</w:t>
      </w:r>
      <w:r w:rsidRPr="00C16517">
        <w:rPr>
          <w:rFonts w:ascii="Amasis MT Pro Light" w:hAnsi="Amasis MT Pro Light"/>
        </w:rPr>
        <w:t>, </w:t>
      </w:r>
      <w:r w:rsidRPr="00C16517">
        <w:rPr>
          <w:rFonts w:ascii="Amasis MT Pro Light" w:hAnsi="Amasis MT Pro Light"/>
          <w:i/>
          <w:iCs/>
        </w:rPr>
        <w:t>8</w:t>
      </w:r>
      <w:r w:rsidRPr="00C16517">
        <w:rPr>
          <w:rFonts w:ascii="Amasis MT Pro Light" w:hAnsi="Amasis MT Pro Light"/>
        </w:rPr>
        <w:t>(11B), 6124–6133. </w:t>
      </w:r>
      <w:hyperlink r:id="rId23" w:history="1">
        <w:r w:rsidRPr="00C16517">
          <w:rPr>
            <w:rStyle w:val="Hyperlink"/>
            <w:rFonts w:ascii="Amasis MT Pro Light" w:hAnsi="Amasis MT Pro Light"/>
          </w:rPr>
          <w:t>https://doi.org/10.13189/ujer.2020.082248</w:t>
        </w:r>
      </w:hyperlink>
    </w:p>
    <w:p w14:paraId="56F24709" w14:textId="77777777" w:rsidR="00C16517" w:rsidRPr="00C16517" w:rsidRDefault="00C16517" w:rsidP="00C16517">
      <w:pPr>
        <w:spacing w:after="0" w:line="276" w:lineRule="auto"/>
        <w:ind w:left="720" w:hanging="720"/>
        <w:jc w:val="both"/>
        <w:rPr>
          <w:rFonts w:ascii="Amasis MT Pro Light" w:hAnsi="Amasis MT Pro Light"/>
        </w:rPr>
      </w:pPr>
      <w:bookmarkStart w:id="16" w:name="Ramos"/>
      <w:r w:rsidRPr="00C16517">
        <w:rPr>
          <w:rFonts w:ascii="Amasis MT Pro Light" w:hAnsi="Amasis MT Pro Light"/>
          <w:lang w:val="da-DK"/>
        </w:rPr>
        <w:lastRenderedPageBreak/>
        <w:t xml:space="preserve">Ramos </w:t>
      </w:r>
      <w:bookmarkEnd w:id="16"/>
      <w:r w:rsidRPr="00C16517">
        <w:rPr>
          <w:rFonts w:ascii="Amasis MT Pro Light" w:hAnsi="Amasis MT Pro Light"/>
          <w:lang w:val="da-DK"/>
        </w:rPr>
        <w:t xml:space="preserve">De Melo, F., Flôres, E. L., Diniz De Carvalho, S., Gonçalves De Teixeira, R. A., Batista Loja, L. F., &amp; De Sousa Gomide, R. (2014). </w:t>
      </w:r>
      <w:r w:rsidRPr="00C16517">
        <w:rPr>
          <w:rFonts w:ascii="Amasis MT Pro Light" w:hAnsi="Amasis MT Pro Light"/>
        </w:rPr>
        <w:t>Computational organization of didactic contents for personalized virtual learning environments. </w:t>
      </w:r>
      <w:r w:rsidRPr="00C16517">
        <w:rPr>
          <w:rFonts w:ascii="Amasis MT Pro Light" w:hAnsi="Amasis MT Pro Light"/>
          <w:i/>
          <w:iCs/>
        </w:rPr>
        <w:t>Computers &amp; Education</w:t>
      </w:r>
      <w:r w:rsidRPr="00C16517">
        <w:rPr>
          <w:rFonts w:ascii="Amasis MT Pro Light" w:hAnsi="Amasis MT Pro Light"/>
        </w:rPr>
        <w:t>, </w:t>
      </w:r>
      <w:r w:rsidRPr="00C16517">
        <w:rPr>
          <w:rFonts w:ascii="Amasis MT Pro Light" w:hAnsi="Amasis MT Pro Light"/>
          <w:i/>
          <w:iCs/>
        </w:rPr>
        <w:t>79</w:t>
      </w:r>
      <w:r w:rsidRPr="00C16517">
        <w:rPr>
          <w:rFonts w:ascii="Amasis MT Pro Light" w:hAnsi="Amasis MT Pro Light"/>
        </w:rPr>
        <w:t>, 126–137. </w:t>
      </w:r>
      <w:hyperlink r:id="rId24" w:history="1">
        <w:r w:rsidRPr="00C16517">
          <w:rPr>
            <w:rStyle w:val="Hyperlink"/>
            <w:rFonts w:ascii="Amasis MT Pro Light" w:hAnsi="Amasis MT Pro Light"/>
          </w:rPr>
          <w:t>https://doi.org/10.1016/j.compedu.2014.07.012</w:t>
        </w:r>
      </w:hyperlink>
      <w:r w:rsidRPr="00C16517">
        <w:rPr>
          <w:rFonts w:ascii="Amasis MT Pro Light" w:hAnsi="Amasis MT Pro Light"/>
        </w:rPr>
        <w:t>.</w:t>
      </w:r>
    </w:p>
    <w:p w14:paraId="279C1B1C" w14:textId="00BA6C94" w:rsidR="00C16517" w:rsidRPr="00C16517" w:rsidRDefault="00C16517" w:rsidP="00C16517">
      <w:pPr>
        <w:spacing w:after="0" w:line="276" w:lineRule="auto"/>
        <w:ind w:left="720" w:hanging="720"/>
        <w:jc w:val="both"/>
        <w:rPr>
          <w:rFonts w:ascii="Amasis MT Pro Light" w:hAnsi="Amasis MT Pro Light"/>
        </w:rPr>
      </w:pPr>
      <w:bookmarkStart w:id="17" w:name="Schmid"/>
      <w:r w:rsidRPr="00C16517">
        <w:rPr>
          <w:rFonts w:ascii="Amasis MT Pro Light" w:hAnsi="Amasis MT Pro Light"/>
        </w:rPr>
        <w:t>Schmid</w:t>
      </w:r>
      <w:bookmarkEnd w:id="17"/>
      <w:r w:rsidRPr="00C16517">
        <w:rPr>
          <w:rFonts w:ascii="Amasis MT Pro Light" w:hAnsi="Amasis MT Pro Light"/>
        </w:rPr>
        <w:t xml:space="preserve">, R., &amp; Petko, D. (2019). Does the use of educational technology in personalized learning environments correlate with </w:t>
      </w:r>
      <w:r w:rsidR="006F6323">
        <w:rPr>
          <w:rFonts w:ascii="Amasis MT Pro Light" w:hAnsi="Amasis MT Pro Light"/>
        </w:rPr>
        <w:t xml:space="preserve">the </w:t>
      </w:r>
      <w:r w:rsidRPr="00C16517">
        <w:rPr>
          <w:rFonts w:ascii="Amasis MT Pro Light" w:hAnsi="Amasis MT Pro Light"/>
        </w:rPr>
        <w:t>self-reported digital skills and beliefs of secondary</w:t>
      </w:r>
      <w:r w:rsidR="006F6323">
        <w:rPr>
          <w:rFonts w:ascii="Amasis MT Pro Light" w:hAnsi="Amasis MT Pro Light"/>
        </w:rPr>
        <w:t xml:space="preserve"> </w:t>
      </w:r>
      <w:r w:rsidRPr="00C16517">
        <w:rPr>
          <w:rFonts w:ascii="Amasis MT Pro Light" w:hAnsi="Amasis MT Pro Light"/>
        </w:rPr>
        <w:t>school students? </w:t>
      </w:r>
      <w:r w:rsidRPr="00C16517">
        <w:rPr>
          <w:rFonts w:ascii="Amasis MT Pro Light" w:hAnsi="Amasis MT Pro Light"/>
          <w:i/>
          <w:iCs/>
        </w:rPr>
        <w:t>Computers &amp; Education</w:t>
      </w:r>
      <w:r w:rsidRPr="00C16517">
        <w:rPr>
          <w:rFonts w:ascii="Amasis MT Pro Light" w:hAnsi="Amasis MT Pro Light"/>
        </w:rPr>
        <w:t>, </w:t>
      </w:r>
      <w:r w:rsidRPr="00C16517">
        <w:rPr>
          <w:rFonts w:ascii="Amasis MT Pro Light" w:hAnsi="Amasis MT Pro Light"/>
          <w:i/>
          <w:iCs/>
        </w:rPr>
        <w:t>136</w:t>
      </w:r>
      <w:r w:rsidRPr="00C16517">
        <w:rPr>
          <w:rFonts w:ascii="Amasis MT Pro Light" w:hAnsi="Amasis MT Pro Light"/>
        </w:rPr>
        <w:t>(March), 75–86. </w:t>
      </w:r>
      <w:hyperlink r:id="rId25" w:history="1">
        <w:r w:rsidRPr="00C16517">
          <w:rPr>
            <w:rStyle w:val="Hyperlink"/>
            <w:rFonts w:ascii="Amasis MT Pro Light" w:hAnsi="Amasis MT Pro Light"/>
          </w:rPr>
          <w:t>https://doi.org/10.1016/j.compedu.2019.03.006</w:t>
        </w:r>
      </w:hyperlink>
      <w:r w:rsidRPr="00C16517">
        <w:rPr>
          <w:rFonts w:ascii="Amasis MT Pro Light" w:hAnsi="Amasis MT Pro Light"/>
        </w:rPr>
        <w:t>.</w:t>
      </w:r>
    </w:p>
    <w:p w14:paraId="2AC8B7CC" w14:textId="77777777" w:rsidR="00C16517" w:rsidRPr="00C16517" w:rsidRDefault="00C16517" w:rsidP="00C16517">
      <w:pPr>
        <w:spacing w:after="0" w:line="276" w:lineRule="auto"/>
        <w:ind w:left="720" w:hanging="720"/>
        <w:jc w:val="both"/>
        <w:rPr>
          <w:rFonts w:ascii="Amasis MT Pro Light" w:hAnsi="Amasis MT Pro Light"/>
        </w:rPr>
      </w:pPr>
      <w:bookmarkStart w:id="18" w:name="Scigliano"/>
      <w:r w:rsidRPr="00C16517">
        <w:rPr>
          <w:rFonts w:ascii="Amasis MT Pro Light" w:hAnsi="Amasis MT Pro Light"/>
        </w:rPr>
        <w:t>Scigliano</w:t>
      </w:r>
      <w:bookmarkEnd w:id="18"/>
      <w:r w:rsidRPr="00C16517">
        <w:rPr>
          <w:rFonts w:ascii="Amasis MT Pro Light" w:hAnsi="Amasis MT Pro Light"/>
        </w:rPr>
        <w:t>, J. A. (2000). The internet and higher education special issue on the history of online learning. </w:t>
      </w:r>
      <w:r w:rsidRPr="00C16517">
        <w:rPr>
          <w:rFonts w:ascii="Amasis MT Pro Light" w:hAnsi="Amasis MT Pro Light"/>
          <w:i/>
          <w:iCs/>
        </w:rPr>
        <w:t>The Internet and Higher Education</w:t>
      </w:r>
      <w:r w:rsidRPr="00C16517">
        <w:rPr>
          <w:rFonts w:ascii="Amasis MT Pro Light" w:hAnsi="Amasis MT Pro Light"/>
        </w:rPr>
        <w:t>, </w:t>
      </w:r>
      <w:r w:rsidRPr="00C16517">
        <w:rPr>
          <w:rFonts w:ascii="Amasis MT Pro Light" w:hAnsi="Amasis MT Pro Light"/>
          <w:i/>
          <w:iCs/>
        </w:rPr>
        <w:t>3</w:t>
      </w:r>
      <w:r w:rsidRPr="00C16517">
        <w:rPr>
          <w:rFonts w:ascii="Amasis MT Pro Light" w:hAnsi="Amasis MT Pro Light"/>
        </w:rPr>
        <w:t>(1-2), 1-5. </w:t>
      </w:r>
      <w:hyperlink r:id="rId26" w:history="1">
        <w:r w:rsidRPr="00C16517">
          <w:rPr>
            <w:rStyle w:val="Hyperlink"/>
            <w:rFonts w:ascii="Amasis MT Pro Light" w:hAnsi="Amasis MT Pro Light"/>
          </w:rPr>
          <w:t>https://doi.org/10.1016/s1096-7516(00)00029-4</w:t>
        </w:r>
      </w:hyperlink>
    </w:p>
    <w:p w14:paraId="713FD08B" w14:textId="77777777" w:rsidR="00C16517" w:rsidRPr="00C16517" w:rsidRDefault="00C16517" w:rsidP="00C16517">
      <w:pPr>
        <w:spacing w:after="0" w:line="276" w:lineRule="auto"/>
        <w:ind w:left="720" w:hanging="720"/>
        <w:jc w:val="both"/>
        <w:rPr>
          <w:rFonts w:ascii="Amasis MT Pro Light" w:hAnsi="Amasis MT Pro Light"/>
        </w:rPr>
      </w:pPr>
      <w:bookmarkStart w:id="19" w:name="Swan"/>
      <w:r w:rsidRPr="00C16517">
        <w:rPr>
          <w:rFonts w:ascii="Amasis MT Pro Light" w:hAnsi="Amasis MT Pro Light"/>
        </w:rPr>
        <w:t>Swan</w:t>
      </w:r>
      <w:bookmarkEnd w:id="19"/>
      <w:r w:rsidRPr="00C16517">
        <w:rPr>
          <w:rFonts w:ascii="Amasis MT Pro Light" w:hAnsi="Amasis MT Pro Light"/>
        </w:rPr>
        <w:t>, K. (2021). Relationships Between Interactions and Learning in Online Environments. In Education and Information Technologies, 26(4), 3997-4017</w:t>
      </w:r>
    </w:p>
    <w:p w14:paraId="3830509E" w14:textId="77777777" w:rsidR="00C16517" w:rsidRPr="00C16517" w:rsidRDefault="00C16517" w:rsidP="00C16517">
      <w:pPr>
        <w:spacing w:after="0" w:line="276" w:lineRule="auto"/>
        <w:ind w:left="720" w:hanging="720"/>
        <w:jc w:val="both"/>
        <w:rPr>
          <w:rFonts w:ascii="Amasis MT Pro Light" w:hAnsi="Amasis MT Pro Light"/>
        </w:rPr>
      </w:pPr>
      <w:bookmarkStart w:id="20" w:name="Terry"/>
      <w:r w:rsidRPr="00C16517">
        <w:rPr>
          <w:rFonts w:ascii="Amasis MT Pro Light" w:hAnsi="Amasis MT Pro Light"/>
        </w:rPr>
        <w:t>Terry</w:t>
      </w:r>
      <w:bookmarkEnd w:id="20"/>
      <w:r w:rsidRPr="00C16517">
        <w:rPr>
          <w:rFonts w:ascii="Amasis MT Pro Light" w:hAnsi="Amasis MT Pro Light"/>
        </w:rPr>
        <w:t xml:space="preserve">, R. (2002, August 27). </w:t>
      </w:r>
      <w:r w:rsidRPr="00C16517">
        <w:rPr>
          <w:rFonts w:ascii="Amasis MT Pro Light" w:hAnsi="Amasis MT Pro Light"/>
          <w:i/>
          <w:iCs/>
        </w:rPr>
        <w:t>Online Education’s New Offerings.</w:t>
      </w:r>
      <w:r w:rsidRPr="00C16517">
        <w:rPr>
          <w:rFonts w:ascii="Amasis MT Pro Light" w:hAnsi="Amasis MT Pro Light"/>
        </w:rPr>
        <w:t xml:space="preserve"> Washington Post. Washington, DC.</w:t>
      </w:r>
    </w:p>
    <w:p w14:paraId="30919B6F" w14:textId="5C1EAAD1" w:rsidR="00C16517" w:rsidRPr="00C16517" w:rsidRDefault="00C16517" w:rsidP="00C16517">
      <w:pPr>
        <w:spacing w:after="0" w:line="276" w:lineRule="auto"/>
        <w:ind w:left="720" w:hanging="720"/>
        <w:jc w:val="both"/>
        <w:rPr>
          <w:rFonts w:ascii="Amasis MT Pro Light" w:hAnsi="Amasis MT Pro Light"/>
        </w:rPr>
      </w:pPr>
      <w:bookmarkStart w:id="21" w:name="Troussas"/>
      <w:proofErr w:type="spellStart"/>
      <w:r w:rsidRPr="00C16517">
        <w:rPr>
          <w:rFonts w:ascii="Amasis MT Pro Light" w:hAnsi="Amasis MT Pro Light"/>
        </w:rPr>
        <w:t>Troussas</w:t>
      </w:r>
      <w:bookmarkEnd w:id="21"/>
      <w:proofErr w:type="spellEnd"/>
      <w:r w:rsidRPr="00C16517">
        <w:rPr>
          <w:rFonts w:ascii="Amasis MT Pro Light" w:hAnsi="Amasis MT Pro Light"/>
        </w:rPr>
        <w:t xml:space="preserve">, C., </w:t>
      </w:r>
      <w:proofErr w:type="spellStart"/>
      <w:r w:rsidRPr="00C16517">
        <w:rPr>
          <w:rFonts w:ascii="Amasis MT Pro Light" w:hAnsi="Amasis MT Pro Light"/>
        </w:rPr>
        <w:t>Krouska</w:t>
      </w:r>
      <w:proofErr w:type="spellEnd"/>
      <w:r w:rsidRPr="00C16517">
        <w:rPr>
          <w:rFonts w:ascii="Amasis MT Pro Light" w:hAnsi="Amasis MT Pro Light"/>
        </w:rPr>
        <w:t xml:space="preserve">, A., &amp; </w:t>
      </w:r>
      <w:proofErr w:type="spellStart"/>
      <w:r w:rsidRPr="00C16517">
        <w:rPr>
          <w:rFonts w:ascii="Amasis MT Pro Light" w:hAnsi="Amasis MT Pro Light"/>
        </w:rPr>
        <w:t>Sgouropoulou</w:t>
      </w:r>
      <w:proofErr w:type="spellEnd"/>
      <w:r w:rsidRPr="00C16517">
        <w:rPr>
          <w:rFonts w:ascii="Amasis MT Pro Light" w:hAnsi="Amasis MT Pro Light"/>
        </w:rPr>
        <w:t>, C. (2020). Collaboration and fuzzy-mode</w:t>
      </w:r>
      <w:r w:rsidR="006F6323">
        <w:rPr>
          <w:rFonts w:ascii="Amasis MT Pro Light" w:hAnsi="Amasis MT Pro Light"/>
        </w:rPr>
        <w:t>l</w:t>
      </w:r>
      <w:r w:rsidRPr="00C16517">
        <w:rPr>
          <w:rFonts w:ascii="Amasis MT Pro Light" w:hAnsi="Amasis MT Pro Light"/>
        </w:rPr>
        <w:t>led personalization for mobile game-based learning in higher education. </w:t>
      </w:r>
      <w:r w:rsidRPr="00C16517">
        <w:rPr>
          <w:rFonts w:ascii="Amasis MT Pro Light" w:hAnsi="Amasis MT Pro Light"/>
          <w:i/>
          <w:iCs/>
        </w:rPr>
        <w:t>Computers &amp; Education</w:t>
      </w:r>
      <w:r w:rsidRPr="00C16517">
        <w:rPr>
          <w:rFonts w:ascii="Amasis MT Pro Light" w:hAnsi="Amasis MT Pro Light"/>
        </w:rPr>
        <w:t>, </w:t>
      </w:r>
      <w:r w:rsidRPr="00C16517">
        <w:rPr>
          <w:rFonts w:ascii="Amasis MT Pro Light" w:hAnsi="Amasis MT Pro Light"/>
          <w:i/>
          <w:iCs/>
        </w:rPr>
        <w:t>144</w:t>
      </w:r>
      <w:r w:rsidRPr="00C16517">
        <w:rPr>
          <w:rFonts w:ascii="Amasis MT Pro Light" w:hAnsi="Amasis MT Pro Light"/>
        </w:rPr>
        <w:t>(September 2019), 103698 </w:t>
      </w:r>
      <w:hyperlink r:id="rId27" w:history="1">
        <w:r w:rsidRPr="00C16517">
          <w:rPr>
            <w:rStyle w:val="Hyperlink"/>
            <w:rFonts w:ascii="Amasis MT Pro Light" w:hAnsi="Amasis MT Pro Light"/>
          </w:rPr>
          <w:t>https://doi.org/10.1016/j.compedu.2019.103698</w:t>
        </w:r>
      </w:hyperlink>
      <w:r w:rsidRPr="00C16517">
        <w:rPr>
          <w:rFonts w:ascii="Amasis MT Pro Light" w:hAnsi="Amasis MT Pro Light"/>
        </w:rPr>
        <w:t>.</w:t>
      </w:r>
    </w:p>
    <w:p w14:paraId="5D04C997" w14:textId="5B10AAFD" w:rsidR="00C16517" w:rsidRPr="00C16517" w:rsidRDefault="00C16517" w:rsidP="00C16517">
      <w:pPr>
        <w:spacing w:after="0" w:line="276" w:lineRule="auto"/>
        <w:ind w:left="720" w:hanging="720"/>
        <w:jc w:val="both"/>
        <w:rPr>
          <w:rFonts w:ascii="Amasis MT Pro Light" w:hAnsi="Amasis MT Pro Light"/>
        </w:rPr>
      </w:pPr>
      <w:bookmarkStart w:id="22" w:name="Wu"/>
      <w:r w:rsidRPr="00C16517">
        <w:rPr>
          <w:rFonts w:ascii="Amasis MT Pro Light" w:hAnsi="Amasis MT Pro Light"/>
        </w:rPr>
        <w:t>Wu</w:t>
      </w:r>
      <w:bookmarkEnd w:id="22"/>
      <w:r w:rsidRPr="00C16517">
        <w:rPr>
          <w:rFonts w:ascii="Amasis MT Pro Light" w:hAnsi="Amasis MT Pro Light"/>
        </w:rPr>
        <w:t>, J., Tennyson, R. D., &amp; Hsia, T. (2010). A study of student satisfaction in a blended E-l</w:t>
      </w:r>
      <w:r>
        <w:rPr>
          <w:rFonts w:ascii="Amasis MT Pro Light" w:hAnsi="Amasis MT Pro Light"/>
        </w:rPr>
        <w:t>e</w:t>
      </w:r>
      <w:r w:rsidRPr="00C16517">
        <w:rPr>
          <w:rFonts w:ascii="Amasis MT Pro Light" w:hAnsi="Amasis MT Pro Light"/>
        </w:rPr>
        <w:t>arning system environment. </w:t>
      </w:r>
      <w:r w:rsidRPr="00C16517">
        <w:rPr>
          <w:rFonts w:ascii="Amasis MT Pro Light" w:hAnsi="Amasis MT Pro Light"/>
          <w:i/>
          <w:iCs/>
        </w:rPr>
        <w:t>Computers &amp; Education</w:t>
      </w:r>
      <w:r w:rsidRPr="00C16517">
        <w:rPr>
          <w:rFonts w:ascii="Amasis MT Pro Light" w:hAnsi="Amasis MT Pro Light"/>
        </w:rPr>
        <w:t>, </w:t>
      </w:r>
      <w:r w:rsidRPr="00C16517">
        <w:rPr>
          <w:rFonts w:ascii="Amasis MT Pro Light" w:hAnsi="Amasis MT Pro Light"/>
          <w:i/>
          <w:iCs/>
        </w:rPr>
        <w:t>55</w:t>
      </w:r>
      <w:r w:rsidRPr="00C16517">
        <w:rPr>
          <w:rFonts w:ascii="Amasis MT Pro Light" w:hAnsi="Amasis MT Pro Light"/>
        </w:rPr>
        <w:t>(1), 155-164. </w:t>
      </w:r>
      <w:hyperlink r:id="rId28" w:history="1">
        <w:r w:rsidRPr="00C16517">
          <w:rPr>
            <w:rStyle w:val="Hyperlink"/>
            <w:rFonts w:ascii="Amasis MT Pro Light" w:hAnsi="Amasis MT Pro Light"/>
          </w:rPr>
          <w:t>https://doi.org/10.1016/j.compedu.2009.12.012</w:t>
        </w:r>
      </w:hyperlink>
    </w:p>
    <w:sectPr w:rsidR="00C16517" w:rsidRPr="00C16517" w:rsidSect="00E9597A">
      <w:headerReference w:type="even" r:id="rId29"/>
      <w:headerReference w:type="default" r:id="rId30"/>
      <w:footerReference w:type="even" r:id="rId31"/>
      <w:footerReference w:type="default" r:id="rId32"/>
      <w:headerReference w:type="first" r:id="rId33"/>
      <w:footerReference w:type="first" r:id="rId34"/>
      <w:pgSz w:w="12240" w:h="15840" w:code="1"/>
      <w:pgMar w:top="1008" w:right="1008" w:bottom="1008" w:left="1008" w:header="720" w:footer="720" w:gutter="0"/>
      <w:pgNumType w:start="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C828C" w14:textId="77777777" w:rsidR="00E9597A" w:rsidRDefault="00E9597A" w:rsidP="00F864B3">
      <w:pPr>
        <w:spacing w:after="0" w:line="240" w:lineRule="auto"/>
      </w:pPr>
      <w:r>
        <w:separator/>
      </w:r>
    </w:p>
  </w:endnote>
  <w:endnote w:type="continuationSeparator" w:id="0">
    <w:p w14:paraId="12382458" w14:textId="77777777" w:rsidR="00E9597A" w:rsidRDefault="00E9597A" w:rsidP="00F8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panose1 w:val="02060503050406030704"/>
    <w:charset w:val="00"/>
    <w:family w:val="roman"/>
    <w:pitch w:val="variable"/>
    <w:sig w:usb0="A00002BF" w:usb1="5000207A" w:usb2="00000000" w:usb3="00000000" w:csb0="00000097" w:csb1="00000000"/>
  </w:font>
  <w:font w:name="Merriweather Light">
    <w:altName w:val="Cambria Math"/>
    <w:panose1 w:val="02060503050406030704"/>
    <w:charset w:val="00"/>
    <w:family w:val="roman"/>
    <w:pitch w:val="variable"/>
    <w:sig w:usb0="A00002BF" w:usb1="1000207A" w:usb2="00000000" w:usb3="00000000" w:csb0="00000097" w:csb1="00000000"/>
  </w:font>
  <w:font w:name="ArchivoNarrow-Bold">
    <w:altName w:val="Cambria"/>
    <w:panose1 w:val="00000000000000000000"/>
    <w:charset w:val="00"/>
    <w:family w:val="roman"/>
    <w:notTrueType/>
    <w:pitch w:val="default"/>
  </w:font>
  <w:font w:name="Amasis MT Pro Light">
    <w:charset w:val="00"/>
    <w:family w:val="roman"/>
    <w:pitch w:val="variable"/>
    <w:sig w:usb0="A00000AF" w:usb1="4000205B" w:usb2="00000000" w:usb3="00000000" w:csb0="00000093"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Quire Sans">
    <w:charset w:val="00"/>
    <w:family w:val="swiss"/>
    <w:pitch w:val="variable"/>
    <w:sig w:usb0="A11526FF" w:usb1="8000000A" w:usb2="00010000" w:usb3="00000000" w:csb0="0000019F" w:csb1="00000000"/>
  </w:font>
  <w:font w:name="Segoe UI">
    <w:panose1 w:val="020B0502040204020203"/>
    <w:charset w:val="00"/>
    <w:family w:val="swiss"/>
    <w:pitch w:val="variable"/>
    <w:sig w:usb0="E4002EFF" w:usb1="C000E47F" w:usb2="00000009" w:usb3="00000000" w:csb0="000001FF" w:csb1="00000000"/>
  </w:font>
  <w:font w:name="Verdana Pro Cond Semibold">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DC66B" w14:textId="77777777" w:rsidR="003837BE" w:rsidRDefault="003837BE">
    <w:pPr>
      <w:pStyle w:val="Footer"/>
    </w:pPr>
  </w:p>
  <w:tbl>
    <w:tblPr>
      <w:tblStyle w:val="JSSR"/>
      <w:tblW w:w="0" w:type="auto"/>
      <w:tblBorders>
        <w:top w:val="single" w:sz="4" w:space="0" w:color="808080" w:themeColor="background1" w:themeShade="80"/>
        <w:bottom w:val="none" w:sz="0" w:space="0" w:color="auto"/>
      </w:tblBorders>
      <w:tblLook w:val="04A0" w:firstRow="1" w:lastRow="0" w:firstColumn="1" w:lastColumn="0" w:noHBand="0" w:noVBand="1"/>
    </w:tblPr>
    <w:tblGrid>
      <w:gridCol w:w="630"/>
      <w:gridCol w:w="270"/>
      <w:gridCol w:w="9324"/>
    </w:tblGrid>
    <w:tr w:rsidR="00741804" w14:paraId="4CCA9062" w14:textId="77777777" w:rsidTr="00741804">
      <w:trPr>
        <w:cnfStyle w:val="100000000000" w:firstRow="1" w:lastRow="0" w:firstColumn="0" w:lastColumn="0" w:oddVBand="0" w:evenVBand="0" w:oddHBand="0" w:evenHBand="0" w:firstRowFirstColumn="0" w:firstRowLastColumn="0" w:lastRowFirstColumn="0" w:lastRowLastColumn="0"/>
        <w:trHeight w:val="266"/>
      </w:trPr>
      <w:tc>
        <w:tcPr>
          <w:cnfStyle w:val="001000000100" w:firstRow="0" w:lastRow="0" w:firstColumn="1" w:lastColumn="0" w:oddVBand="0" w:evenVBand="0" w:oddHBand="0" w:evenHBand="0" w:firstRowFirstColumn="1" w:firstRowLastColumn="0" w:lastRowFirstColumn="0" w:lastRowLastColumn="0"/>
          <w:tcW w:w="6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sdt>
          <w:sdtPr>
            <w:rPr>
              <w:rFonts w:ascii="Amasis MT Pro Light" w:hAnsi="Amasis MT Pro Light"/>
              <w:bCs/>
            </w:rPr>
            <w:id w:val="-1207943217"/>
            <w:docPartObj>
              <w:docPartGallery w:val="Page Numbers (Top of Page)"/>
              <w:docPartUnique/>
            </w:docPartObj>
          </w:sdtPr>
          <w:sdtEndPr>
            <w:rPr>
              <w:noProof/>
            </w:rPr>
          </w:sdtEndPr>
          <w:sdtContent>
            <w:p w14:paraId="6D2855C8" w14:textId="77777777" w:rsidR="00741804" w:rsidRPr="00E15EFA" w:rsidRDefault="00741804" w:rsidP="00741804">
              <w:pPr>
                <w:pStyle w:val="Header"/>
                <w:spacing w:before="20" w:after="20"/>
                <w:jc w:val="center"/>
                <w:rPr>
                  <w:rFonts w:ascii="Amasis MT Pro Light" w:hAnsi="Amasis MT Pro Light"/>
                  <w:b w:val="0"/>
                  <w:bCs/>
                  <w:color w:val="auto"/>
                </w:rPr>
              </w:pPr>
              <w:r w:rsidRPr="00E15EFA">
                <w:rPr>
                  <w:rFonts w:ascii="Amasis MT Pro Light" w:hAnsi="Amasis MT Pro Light"/>
                  <w:bCs/>
                </w:rPr>
                <w:fldChar w:fldCharType="begin"/>
              </w:r>
              <w:r w:rsidRPr="00E15EFA">
                <w:rPr>
                  <w:rFonts w:ascii="Amasis MT Pro Light" w:hAnsi="Amasis MT Pro Light"/>
                  <w:b w:val="0"/>
                  <w:bCs/>
                  <w:color w:val="auto"/>
                </w:rPr>
                <w:instrText xml:space="preserve"> PAGE   \* MERGEFORMAT </w:instrText>
              </w:r>
              <w:r w:rsidRPr="00E15EFA">
                <w:rPr>
                  <w:rFonts w:ascii="Amasis MT Pro Light" w:hAnsi="Amasis MT Pro Light"/>
                  <w:bCs/>
                </w:rPr>
                <w:fldChar w:fldCharType="separate"/>
              </w:r>
              <w:r w:rsidRPr="00E15EFA">
                <w:rPr>
                  <w:rFonts w:ascii="Amasis MT Pro Light" w:hAnsi="Amasis MT Pro Light"/>
                  <w:b w:val="0"/>
                  <w:bCs/>
                  <w:color w:val="auto"/>
                </w:rPr>
                <w:t>2</w:t>
              </w:r>
              <w:r w:rsidRPr="00E15EFA">
                <w:rPr>
                  <w:rFonts w:ascii="Amasis MT Pro Light" w:hAnsi="Amasis MT Pro Light"/>
                  <w:bCs/>
                  <w:noProof/>
                </w:rPr>
                <w:fldChar w:fldCharType="end"/>
              </w:r>
            </w:p>
          </w:sdtContent>
        </w:sdt>
      </w:tc>
      <w:tc>
        <w:tcPr>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F6FD5D0" w14:textId="77777777" w:rsidR="00741804" w:rsidRPr="004D2B31" w:rsidRDefault="00741804" w:rsidP="00741804">
          <w:pPr>
            <w:pStyle w:val="Header"/>
            <w:cnfStyle w:val="100000000000" w:firstRow="1" w:lastRow="0" w:firstColumn="0" w:lastColumn="0" w:oddVBand="0" w:evenVBand="0" w:oddHBand="0" w:evenHBand="0" w:firstRowFirstColumn="0" w:firstRowLastColumn="0" w:lastRowFirstColumn="0" w:lastRowLastColumn="0"/>
            <w:rPr>
              <w:rFonts w:ascii="Amasis MT Pro Light" w:hAnsi="Amasis MT Pro Light"/>
              <w:b w:val="0"/>
              <w:bCs/>
              <w:color w:val="auto"/>
            </w:rPr>
          </w:pPr>
        </w:p>
      </w:tc>
      <w:tc>
        <w:tcPr>
          <w:tcW w:w="93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06A65A7" w14:textId="5D6D3780" w:rsidR="00741804" w:rsidRPr="004D2B31" w:rsidRDefault="004D2B31" w:rsidP="00741804">
          <w:pPr>
            <w:pStyle w:val="Header"/>
            <w:jc w:val="left"/>
            <w:cnfStyle w:val="100000000000" w:firstRow="1" w:lastRow="0" w:firstColumn="0" w:lastColumn="0" w:oddVBand="0" w:evenVBand="0" w:oddHBand="0" w:evenHBand="0" w:firstRowFirstColumn="0" w:firstRowLastColumn="0" w:lastRowFirstColumn="0" w:lastRowLastColumn="0"/>
            <w:rPr>
              <w:rFonts w:ascii="Amasis MT Pro Light" w:hAnsi="Amasis MT Pro Light"/>
              <w:b w:val="0"/>
              <w:bCs/>
              <w:color w:val="auto"/>
            </w:rPr>
          </w:pPr>
          <w:r w:rsidRPr="004D2B31">
            <w:rPr>
              <w:rFonts w:ascii="Amasis MT Pro Light" w:hAnsi="Amasis MT Pro Light"/>
              <w:b w:val="0"/>
              <w:bCs/>
              <w:color w:val="auto"/>
            </w:rPr>
            <w:t>Jo</w:t>
          </w:r>
          <w:r>
            <w:rPr>
              <w:rFonts w:ascii="Amasis MT Pro Light" w:hAnsi="Amasis MT Pro Light"/>
              <w:b w:val="0"/>
              <w:bCs/>
              <w:color w:val="auto"/>
            </w:rPr>
            <w:t xml:space="preserve">urnal of Education and Finance Review (JEFR) | Volume </w:t>
          </w:r>
          <w:r w:rsidR="004157A3">
            <w:rPr>
              <w:rFonts w:ascii="Amasis MT Pro Light" w:hAnsi="Amasis MT Pro Light"/>
              <w:b w:val="0"/>
              <w:bCs/>
              <w:color w:val="auto"/>
            </w:rPr>
            <w:t>2</w:t>
          </w:r>
          <w:r>
            <w:rPr>
              <w:rFonts w:ascii="Amasis MT Pro Light" w:hAnsi="Amasis MT Pro Light"/>
              <w:b w:val="0"/>
              <w:bCs/>
              <w:color w:val="auto"/>
            </w:rPr>
            <w:t>, Issue 1 (202</w:t>
          </w:r>
          <w:r w:rsidR="004157A3">
            <w:rPr>
              <w:rFonts w:ascii="Amasis MT Pro Light" w:hAnsi="Amasis MT Pro Light"/>
              <w:b w:val="0"/>
              <w:bCs/>
              <w:color w:val="auto"/>
            </w:rPr>
            <w:t>3</w:t>
          </w:r>
          <w:r>
            <w:rPr>
              <w:rFonts w:ascii="Amasis MT Pro Light" w:hAnsi="Amasis MT Pro Light"/>
              <w:b w:val="0"/>
              <w:bCs/>
              <w:color w:val="auto"/>
            </w:rPr>
            <w:t>)</w:t>
          </w:r>
        </w:p>
      </w:tc>
    </w:tr>
  </w:tbl>
  <w:p w14:paraId="42024BF2" w14:textId="77777777" w:rsidR="00741804" w:rsidRPr="00741804" w:rsidRDefault="00741804">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B6ED4" w14:textId="77777777" w:rsidR="003837BE" w:rsidRDefault="003837BE">
    <w:pPr>
      <w:pStyle w:val="Footer"/>
    </w:pPr>
  </w:p>
  <w:tbl>
    <w:tblPr>
      <w:tblStyle w:val="JSSR"/>
      <w:tblW w:w="5000" w:type="pct"/>
      <w:tblBorders>
        <w:top w:val="single" w:sz="4" w:space="0" w:color="808080" w:themeColor="background1" w:themeShade="80"/>
        <w:bottom w:val="none" w:sz="0" w:space="0" w:color="auto"/>
      </w:tblBorders>
      <w:tblLook w:val="04A0" w:firstRow="1" w:lastRow="0" w:firstColumn="1" w:lastColumn="0" w:noHBand="0" w:noVBand="1"/>
    </w:tblPr>
    <w:tblGrid>
      <w:gridCol w:w="9353"/>
      <w:gridCol w:w="239"/>
      <w:gridCol w:w="632"/>
    </w:tblGrid>
    <w:tr w:rsidR="00741804" w:rsidRPr="00C04B36" w14:paraId="08FBF816" w14:textId="77777777" w:rsidTr="00C218E0">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457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5B50AA6" w14:textId="61293977" w:rsidR="00741804" w:rsidRPr="00C04B36" w:rsidRDefault="00360831" w:rsidP="00360831">
          <w:pPr>
            <w:pStyle w:val="Header"/>
            <w:jc w:val="right"/>
            <w:rPr>
              <w:rFonts w:ascii="Amasis MT Pro Light" w:hAnsi="Amasis MT Pro Light"/>
              <w:b w:val="0"/>
              <w:bCs/>
              <w:color w:val="auto"/>
            </w:rPr>
          </w:pPr>
          <w:r w:rsidRPr="004D2B31">
            <w:rPr>
              <w:rFonts w:ascii="Amasis MT Pro Light" w:hAnsi="Amasis MT Pro Light"/>
              <w:b w:val="0"/>
              <w:bCs/>
              <w:color w:val="auto"/>
            </w:rPr>
            <w:t>Jo</w:t>
          </w:r>
          <w:r>
            <w:rPr>
              <w:rFonts w:ascii="Amasis MT Pro Light" w:hAnsi="Amasis MT Pro Light"/>
              <w:b w:val="0"/>
              <w:bCs/>
              <w:color w:val="auto"/>
            </w:rPr>
            <w:t xml:space="preserve">urnal of Education and Finance Review (JEFR) | Volume </w:t>
          </w:r>
          <w:r w:rsidR="004157A3">
            <w:rPr>
              <w:rFonts w:ascii="Amasis MT Pro Light" w:hAnsi="Amasis MT Pro Light"/>
              <w:b w:val="0"/>
              <w:bCs/>
              <w:color w:val="auto"/>
            </w:rPr>
            <w:t>2</w:t>
          </w:r>
          <w:r>
            <w:rPr>
              <w:rFonts w:ascii="Amasis MT Pro Light" w:hAnsi="Amasis MT Pro Light"/>
              <w:b w:val="0"/>
              <w:bCs/>
              <w:color w:val="auto"/>
            </w:rPr>
            <w:t>, Issue 1 (202</w:t>
          </w:r>
          <w:r w:rsidR="004157A3">
            <w:rPr>
              <w:rFonts w:ascii="Amasis MT Pro Light" w:hAnsi="Amasis MT Pro Light"/>
              <w:b w:val="0"/>
              <w:bCs/>
              <w:color w:val="auto"/>
            </w:rPr>
            <w:t>3</w:t>
          </w:r>
          <w:r>
            <w:rPr>
              <w:rFonts w:ascii="Amasis MT Pro Light" w:hAnsi="Amasis MT Pro Light"/>
              <w:b w:val="0"/>
              <w:bCs/>
              <w:color w:val="auto"/>
            </w:rPr>
            <w:t>)</w:t>
          </w:r>
        </w:p>
      </w:tc>
      <w:tc>
        <w:tcPr>
          <w:tcW w:w="1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665E17" w14:textId="77777777" w:rsidR="00741804" w:rsidRPr="00C04B36" w:rsidRDefault="00741804" w:rsidP="00741804">
          <w:pPr>
            <w:pStyle w:val="Header"/>
            <w:cnfStyle w:val="100000000000" w:firstRow="1" w:lastRow="0" w:firstColumn="0" w:lastColumn="0" w:oddVBand="0" w:evenVBand="0" w:oddHBand="0" w:evenHBand="0" w:firstRowFirstColumn="0" w:firstRowLastColumn="0" w:lastRowFirstColumn="0" w:lastRowLastColumn="0"/>
            <w:rPr>
              <w:rFonts w:ascii="Amasis MT Pro Light" w:hAnsi="Amasis MT Pro Light"/>
              <w:b w:val="0"/>
              <w:bCs/>
              <w:color w:val="auto"/>
            </w:rPr>
          </w:pPr>
        </w:p>
      </w:tc>
      <w:tc>
        <w:tcPr>
          <w:tcW w:w="30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sdt>
          <w:sdtPr>
            <w:rPr>
              <w:rFonts w:ascii="Amasis MT Pro Light" w:hAnsi="Amasis MT Pro Light"/>
              <w:bCs/>
            </w:rPr>
            <w:id w:val="2054885746"/>
            <w:docPartObj>
              <w:docPartGallery w:val="Page Numbers (Top of Page)"/>
              <w:docPartUnique/>
            </w:docPartObj>
          </w:sdtPr>
          <w:sdtEndPr>
            <w:rPr>
              <w:noProof/>
            </w:rPr>
          </w:sdtEndPr>
          <w:sdtContent>
            <w:p w14:paraId="5B3485C0" w14:textId="77777777" w:rsidR="00741804" w:rsidRPr="00C04B36" w:rsidRDefault="00741804" w:rsidP="00741804">
              <w:pPr>
                <w:pStyle w:val="Header"/>
                <w:spacing w:before="20" w:after="20"/>
                <w:cnfStyle w:val="100000000000" w:firstRow="1" w:lastRow="0" w:firstColumn="0" w:lastColumn="0" w:oddVBand="0" w:evenVBand="0" w:oddHBand="0" w:evenHBand="0" w:firstRowFirstColumn="0" w:firstRowLastColumn="0" w:lastRowFirstColumn="0" w:lastRowLastColumn="0"/>
                <w:rPr>
                  <w:rFonts w:ascii="Amasis MT Pro Light" w:hAnsi="Amasis MT Pro Light"/>
                  <w:b w:val="0"/>
                  <w:bCs/>
                  <w:color w:val="auto"/>
                </w:rPr>
              </w:pPr>
              <w:r w:rsidRPr="00C04B36">
                <w:rPr>
                  <w:rFonts w:ascii="Amasis MT Pro Light" w:hAnsi="Amasis MT Pro Light"/>
                  <w:bCs/>
                </w:rPr>
                <w:fldChar w:fldCharType="begin"/>
              </w:r>
              <w:r w:rsidRPr="00C04B36">
                <w:rPr>
                  <w:rFonts w:ascii="Amasis MT Pro Light" w:hAnsi="Amasis MT Pro Light"/>
                  <w:b w:val="0"/>
                  <w:bCs/>
                  <w:color w:val="auto"/>
                </w:rPr>
                <w:instrText xml:space="preserve"> PAGE   \* MERGEFORMAT </w:instrText>
              </w:r>
              <w:r w:rsidRPr="00C04B36">
                <w:rPr>
                  <w:rFonts w:ascii="Amasis MT Pro Light" w:hAnsi="Amasis MT Pro Light"/>
                  <w:bCs/>
                </w:rPr>
                <w:fldChar w:fldCharType="separate"/>
              </w:r>
              <w:r w:rsidRPr="00C04B36">
                <w:rPr>
                  <w:rFonts w:ascii="Amasis MT Pro Light" w:hAnsi="Amasis MT Pro Light"/>
                  <w:b w:val="0"/>
                  <w:bCs/>
                  <w:color w:val="auto"/>
                </w:rPr>
                <w:t>3</w:t>
              </w:r>
              <w:r w:rsidRPr="00C04B36">
                <w:rPr>
                  <w:rFonts w:ascii="Amasis MT Pro Light" w:hAnsi="Amasis MT Pro Light"/>
                  <w:bCs/>
                  <w:noProof/>
                </w:rPr>
                <w:fldChar w:fldCharType="end"/>
              </w:r>
            </w:p>
          </w:sdtContent>
        </w:sdt>
      </w:tc>
    </w:tr>
  </w:tbl>
  <w:p w14:paraId="43267721" w14:textId="77777777" w:rsidR="00741804" w:rsidRPr="00741804" w:rsidRDefault="0074180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C0C37" w14:textId="77777777" w:rsidR="005C3AA8" w:rsidRPr="00A850C8" w:rsidRDefault="005C3AA8">
    <w:pPr>
      <w:pStyle w:val="Footer"/>
      <w:rPr>
        <w:rFonts w:ascii="Amasis MT Pro Light" w:hAnsi="Amasis MT Pro Light"/>
        <w:bCs/>
      </w:rPr>
    </w:pPr>
  </w:p>
  <w:tbl>
    <w:tblPr>
      <w:tblStyle w:val="JSSR"/>
      <w:tblW w:w="5000" w:type="pct"/>
      <w:tblBorders>
        <w:top w:val="single" w:sz="8" w:space="0" w:color="auto"/>
        <w:bottom w:val="single" w:sz="8" w:space="0" w:color="auto"/>
      </w:tblBorders>
      <w:tblLook w:val="04A0" w:firstRow="1" w:lastRow="0" w:firstColumn="1" w:lastColumn="0" w:noHBand="0" w:noVBand="1"/>
    </w:tblPr>
    <w:tblGrid>
      <w:gridCol w:w="272"/>
      <w:gridCol w:w="9952"/>
    </w:tblGrid>
    <w:tr w:rsidR="004A7475" w:rsidRPr="004A7475" w14:paraId="7B50674D" w14:textId="77777777" w:rsidTr="005267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Borders>
            <w:top w:val="single" w:sz="6" w:space="0" w:color="auto"/>
            <w:left w:val="none" w:sz="0" w:space="0" w:color="auto"/>
            <w:bottom w:val="nil"/>
            <w:right w:val="none" w:sz="0" w:space="0" w:color="auto"/>
            <w:tl2br w:val="none" w:sz="0" w:space="0" w:color="auto"/>
            <w:tr2bl w:val="none" w:sz="0" w:space="0" w:color="auto"/>
          </w:tcBorders>
          <w:shd w:val="clear" w:color="auto" w:fill="auto"/>
        </w:tcPr>
        <w:p w14:paraId="281CFE31" w14:textId="77777777" w:rsidR="004A7475" w:rsidRPr="004A7475" w:rsidRDefault="004A7475" w:rsidP="00DB6B60">
          <w:pPr>
            <w:pStyle w:val="Footer"/>
            <w:ind w:left="-106"/>
            <w:rPr>
              <w:rFonts w:ascii="Amasis MT Pro Light" w:hAnsi="Amasis MT Pro Light"/>
              <w:bCs/>
              <w:sz w:val="6"/>
              <w:szCs w:val="6"/>
            </w:rPr>
          </w:pPr>
        </w:p>
      </w:tc>
    </w:tr>
    <w:tr w:rsidR="004A7475" w:rsidRPr="00B14C28" w14:paraId="2895E190" w14:textId="77777777" w:rsidTr="0052676A">
      <w:tc>
        <w:tcPr>
          <w:cnfStyle w:val="001000000000" w:firstRow="0" w:lastRow="0" w:firstColumn="1" w:lastColumn="0" w:oddVBand="0" w:evenVBand="0" w:oddHBand="0" w:evenHBand="0" w:firstRowFirstColumn="0" w:firstRowLastColumn="0" w:lastRowFirstColumn="0" w:lastRowLastColumn="0"/>
          <w:tcW w:w="133" w:type="pct"/>
          <w:tcBorders>
            <w:top w:val="nil"/>
          </w:tcBorders>
          <w:shd w:val="clear" w:color="auto" w:fill="auto"/>
        </w:tcPr>
        <w:p w14:paraId="6C89F59B" w14:textId="77777777" w:rsidR="00DB6B60" w:rsidRPr="00B14C28" w:rsidRDefault="00DB6B60" w:rsidP="00DB6B60">
          <w:pPr>
            <w:pStyle w:val="Footer"/>
            <w:jc w:val="right"/>
            <w:rPr>
              <w:rFonts w:ascii="Amasis MT Pro Light" w:hAnsi="Amasis MT Pro Light"/>
              <w:bCs/>
              <w:sz w:val="18"/>
              <w:szCs w:val="18"/>
              <w:vertAlign w:val="superscript"/>
            </w:rPr>
          </w:pPr>
          <w:r w:rsidRPr="00B14C28">
            <w:rPr>
              <w:rFonts w:ascii="Amasis MT Pro Light" w:hAnsi="Amasis MT Pro Light"/>
              <w:bCs/>
              <w:sz w:val="18"/>
              <w:szCs w:val="18"/>
              <w:vertAlign w:val="superscript"/>
            </w:rPr>
            <w:t xml:space="preserve">1 </w:t>
          </w:r>
        </w:p>
      </w:tc>
      <w:tc>
        <w:tcPr>
          <w:tcW w:w="4867" w:type="pct"/>
          <w:tcBorders>
            <w:top w:val="nil"/>
          </w:tcBorders>
          <w:shd w:val="clear" w:color="auto" w:fill="auto"/>
          <w:vAlign w:val="center"/>
        </w:tcPr>
        <w:p w14:paraId="4C45B0A1" w14:textId="32D2C0CC" w:rsidR="00DB6B60" w:rsidRPr="005418B3" w:rsidRDefault="005418B3" w:rsidP="005418B3">
          <w:pPr>
            <w:pStyle w:val="Footer"/>
            <w:ind w:left="-106"/>
            <w:cnfStyle w:val="000000000000" w:firstRow="0" w:lastRow="0" w:firstColumn="0" w:lastColumn="0" w:oddVBand="0" w:evenVBand="0" w:oddHBand="0" w:evenHBand="0" w:firstRowFirstColumn="0" w:firstRowLastColumn="0" w:lastRowFirstColumn="0" w:lastRowLastColumn="0"/>
            <w:rPr>
              <w:rFonts w:ascii="Amasis MT Pro Light" w:hAnsi="Amasis MT Pro Light"/>
              <w:bCs/>
              <w:sz w:val="18"/>
              <w:szCs w:val="18"/>
            </w:rPr>
          </w:pPr>
          <w:r w:rsidRPr="005418B3">
            <w:rPr>
              <w:rFonts w:ascii="Amasis MT Pro Light" w:hAnsi="Amasis MT Pro Light"/>
              <w:bCs/>
              <w:sz w:val="18"/>
              <w:szCs w:val="18"/>
            </w:rPr>
            <w:t>PhD Scholar, Education, IER University of Peshawar, Khyber Pakhtunkhwa, Pakistan.</w:t>
          </w:r>
        </w:p>
      </w:tc>
    </w:tr>
    <w:tr w:rsidR="004A467E" w:rsidRPr="00B14C28" w14:paraId="2C72081B" w14:textId="77777777" w:rsidTr="0052676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2543932E" w14:textId="77777777" w:rsidR="004A467E" w:rsidRPr="00B14C28" w:rsidRDefault="004A467E" w:rsidP="00DB6B60">
          <w:pPr>
            <w:pStyle w:val="Footer"/>
            <w:ind w:left="-106"/>
            <w:rPr>
              <w:rFonts w:ascii="Amasis MT Pro Light" w:hAnsi="Amasis MT Pro Light"/>
              <w:bCs/>
              <w:sz w:val="18"/>
              <w:szCs w:val="18"/>
            </w:rPr>
          </w:pPr>
        </w:p>
      </w:tc>
    </w:tr>
    <w:tr w:rsidR="004A467E" w:rsidRPr="00B14C28" w14:paraId="388084D7" w14:textId="77777777" w:rsidTr="0052676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83E7269" w14:textId="77777777" w:rsidR="005418B3" w:rsidRDefault="004A467E" w:rsidP="005418B3">
          <w:pPr>
            <w:pStyle w:val="Footer"/>
            <w:ind w:left="-106"/>
            <w:rPr>
              <w:rFonts w:ascii="Amasis MT Pro Light" w:hAnsi="Amasis MT Pro Light"/>
              <w:bCs/>
              <w:sz w:val="18"/>
              <w:szCs w:val="18"/>
            </w:rPr>
          </w:pPr>
          <w:r w:rsidRPr="00B14C28">
            <w:rPr>
              <w:rFonts w:ascii="Amasis MT Pro Light" w:hAnsi="Amasis MT Pro Light"/>
              <w:b/>
              <w:sz w:val="18"/>
              <w:szCs w:val="18"/>
            </w:rPr>
            <w:t>Correspondence to</w:t>
          </w:r>
          <w:r w:rsidRPr="00B14C28">
            <w:rPr>
              <w:rFonts w:ascii="Amasis MT Pro Light" w:hAnsi="Amasis MT Pro Light"/>
              <w:bCs/>
              <w:sz w:val="18"/>
              <w:szCs w:val="18"/>
            </w:rPr>
            <w:t xml:space="preserve"> </w:t>
          </w:r>
          <w:r w:rsidR="005418B3" w:rsidRPr="005418B3">
            <w:rPr>
              <w:rFonts w:ascii="Amasis MT Pro Light" w:hAnsi="Amasis MT Pro Light"/>
              <w:bCs/>
              <w:sz w:val="18"/>
              <w:szCs w:val="18"/>
            </w:rPr>
            <w:t>Ghulam Muhammad</w:t>
          </w:r>
          <w:r w:rsidR="00E01F8B" w:rsidRPr="005418B3">
            <w:rPr>
              <w:rFonts w:ascii="Amasis MT Pro Light" w:hAnsi="Amasis MT Pro Light"/>
              <w:bCs/>
              <w:sz w:val="18"/>
              <w:szCs w:val="18"/>
            </w:rPr>
            <w:t xml:space="preserve">, </w:t>
          </w:r>
          <w:r w:rsidR="005418B3" w:rsidRPr="005418B3">
            <w:rPr>
              <w:rFonts w:ascii="Amasis MT Pro Light" w:hAnsi="Amasis MT Pro Light"/>
              <w:bCs/>
              <w:sz w:val="18"/>
              <w:szCs w:val="18"/>
            </w:rPr>
            <w:t>PhD Scholar, Education, IER University of Peshawar, Khyber Pakhtunkhwa, Pakistan.</w:t>
          </w:r>
        </w:p>
        <w:p w14:paraId="47663EB5" w14:textId="5EB7D606" w:rsidR="004A467E" w:rsidRPr="00B14C28" w:rsidRDefault="00E01F8B" w:rsidP="005418B3">
          <w:pPr>
            <w:pStyle w:val="Footer"/>
            <w:ind w:left="-106"/>
            <w:rPr>
              <w:rFonts w:ascii="Amasis MT Pro Light" w:hAnsi="Amasis MT Pro Light"/>
              <w:bCs/>
              <w:sz w:val="18"/>
              <w:szCs w:val="18"/>
            </w:rPr>
          </w:pPr>
          <w:r w:rsidRPr="005418B3">
            <w:rPr>
              <w:rFonts w:ascii="Amasis MT Pro Light" w:hAnsi="Amasis MT Pro Light"/>
              <w:bCs/>
              <w:sz w:val="18"/>
              <w:szCs w:val="18"/>
            </w:rPr>
            <w:t xml:space="preserve">Email: </w:t>
          </w:r>
          <w:hyperlink r:id="rId1" w:history="1">
            <w:r w:rsidR="005418B3" w:rsidRPr="005C3B31">
              <w:rPr>
                <w:rStyle w:val="Hyperlink"/>
                <w:rFonts w:ascii="Amasis MT Pro Light" w:hAnsi="Amasis MT Pro Light"/>
                <w:bCs/>
                <w:sz w:val="18"/>
                <w:szCs w:val="18"/>
              </w:rPr>
              <w:t>ghulammuhammad@gmail.com</w:t>
            </w:r>
          </w:hyperlink>
          <w:r w:rsidR="005418B3">
            <w:rPr>
              <w:rFonts w:ascii="Amasis MT Pro Light" w:hAnsi="Amasis MT Pro Light"/>
              <w:bCs/>
              <w:sz w:val="18"/>
              <w:szCs w:val="18"/>
            </w:rPr>
            <w:t xml:space="preserve"> </w:t>
          </w:r>
        </w:p>
      </w:tc>
    </w:tr>
    <w:tr w:rsidR="00E01F8B" w:rsidRPr="00B14C28" w14:paraId="4C8698E0" w14:textId="77777777" w:rsidTr="0052676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49513C64" w14:textId="77777777" w:rsidR="00E01F8B" w:rsidRPr="00B14C28" w:rsidRDefault="00E01F8B" w:rsidP="00B14C28">
          <w:pPr>
            <w:pStyle w:val="Footer"/>
            <w:ind w:left="-106"/>
            <w:rPr>
              <w:rFonts w:ascii="Amasis MT Pro Light" w:hAnsi="Amasis MT Pro Light"/>
              <w:bCs/>
              <w:sz w:val="18"/>
              <w:szCs w:val="18"/>
            </w:rPr>
          </w:pPr>
        </w:p>
      </w:tc>
    </w:tr>
    <w:tr w:rsidR="00D67089" w:rsidRPr="00B14C28" w14:paraId="17FA254D" w14:textId="77777777" w:rsidTr="0052676A">
      <w:tc>
        <w:tcPr>
          <w:cnfStyle w:val="001000000000" w:firstRow="0" w:lastRow="0" w:firstColumn="1" w:lastColumn="0" w:oddVBand="0" w:evenVBand="0" w:oddHBand="0" w:evenHBand="0" w:firstRowFirstColumn="0" w:firstRowLastColumn="0" w:lastRowFirstColumn="0" w:lastRowLastColumn="0"/>
          <w:tcW w:w="5000" w:type="pct"/>
          <w:gridSpan w:val="2"/>
          <w:tcBorders>
            <w:bottom w:val="nil"/>
          </w:tcBorders>
          <w:shd w:val="clear" w:color="auto" w:fill="auto"/>
          <w:vAlign w:val="top"/>
        </w:tcPr>
        <w:p w14:paraId="3C3D5532" w14:textId="76203FD8" w:rsidR="00D67089" w:rsidRPr="00B14C28" w:rsidRDefault="00D67089" w:rsidP="00B14C28">
          <w:pPr>
            <w:pStyle w:val="Footer"/>
            <w:ind w:left="-106"/>
            <w:rPr>
              <w:rFonts w:ascii="Amasis MT Pro Light" w:hAnsi="Amasis MT Pro Light"/>
              <w:bCs/>
              <w:sz w:val="18"/>
              <w:szCs w:val="18"/>
            </w:rPr>
          </w:pPr>
          <w:r w:rsidRPr="00B14C28">
            <w:rPr>
              <w:rFonts w:ascii="Amasis MT Pro Light" w:hAnsi="Amasis MT Pro Light" w:cs="Open Sans"/>
              <w:b/>
              <w:bCs/>
              <w:sz w:val="18"/>
              <w:szCs w:val="18"/>
            </w:rPr>
            <w:t>Cite this Article as</w:t>
          </w:r>
          <w:r w:rsidRPr="00B14C28">
            <w:rPr>
              <w:rFonts w:ascii="Amasis MT Pro Light" w:hAnsi="Amasis MT Pro Light"/>
              <w:sz w:val="18"/>
              <w:szCs w:val="18"/>
            </w:rPr>
            <w:t xml:space="preserve"> </w:t>
          </w:r>
          <w:r w:rsidR="00334746" w:rsidRPr="00334746">
            <w:rPr>
              <w:rFonts w:ascii="Amasis MT Pro Light" w:hAnsi="Amasis MT Pro Light"/>
              <w:sz w:val="18"/>
              <w:szCs w:val="18"/>
            </w:rPr>
            <w:t>Muhammad, G</w:t>
          </w:r>
          <w:r w:rsidRPr="00334746">
            <w:rPr>
              <w:rFonts w:ascii="Amasis MT Pro Light" w:hAnsi="Amasis MT Pro Light" w:cs="Open Sans Light"/>
              <w:sz w:val="18"/>
              <w:szCs w:val="18"/>
            </w:rPr>
            <w:t>. (202</w:t>
          </w:r>
          <w:r w:rsidR="00334746" w:rsidRPr="00334746">
            <w:rPr>
              <w:rFonts w:ascii="Amasis MT Pro Light" w:hAnsi="Amasis MT Pro Light" w:cs="Open Sans Light"/>
              <w:sz w:val="18"/>
              <w:szCs w:val="18"/>
            </w:rPr>
            <w:t>3</w:t>
          </w:r>
          <w:r w:rsidRPr="00334746">
            <w:rPr>
              <w:rFonts w:ascii="Amasis MT Pro Light" w:hAnsi="Amasis MT Pro Light" w:cs="Open Sans Light"/>
              <w:sz w:val="18"/>
              <w:szCs w:val="18"/>
            </w:rPr>
            <w:t xml:space="preserve">). </w:t>
          </w:r>
          <w:r w:rsidR="00A45255" w:rsidRPr="00334746">
            <w:rPr>
              <w:rFonts w:ascii="Amasis MT Pro Light" w:hAnsi="Amasis MT Pro Light" w:cs="Open Sans Light"/>
              <w:sz w:val="18"/>
              <w:szCs w:val="18"/>
            </w:rPr>
            <w:t>Trends and Innovations in the Prospects of Distance Learning</w:t>
          </w:r>
          <w:r w:rsidRPr="00334746">
            <w:rPr>
              <w:rFonts w:ascii="Amasis MT Pro Light" w:hAnsi="Amasis MT Pro Light" w:cs="Open Sans Light"/>
              <w:sz w:val="18"/>
              <w:szCs w:val="18"/>
            </w:rPr>
            <w:t xml:space="preserve">. </w:t>
          </w:r>
          <w:r w:rsidRPr="00334746">
            <w:rPr>
              <w:rFonts w:ascii="Amasis MT Pro Light" w:hAnsi="Amasis MT Pro Light" w:cs="Open Sans Light"/>
              <w:i/>
              <w:iCs/>
              <w:sz w:val="18"/>
              <w:szCs w:val="18"/>
            </w:rPr>
            <w:t xml:space="preserve">Journal of Education and Finance Review, </w:t>
          </w:r>
          <w:r w:rsidR="00334746" w:rsidRPr="00334746">
            <w:rPr>
              <w:rFonts w:ascii="Amasis MT Pro Light" w:hAnsi="Amasis MT Pro Light" w:cs="Open Sans Light"/>
              <w:i/>
              <w:iCs/>
              <w:sz w:val="18"/>
              <w:szCs w:val="18"/>
            </w:rPr>
            <w:t>2</w:t>
          </w:r>
          <w:r w:rsidRPr="00334746">
            <w:rPr>
              <w:rFonts w:ascii="Amasis MT Pro Light" w:hAnsi="Amasis MT Pro Light" w:cs="Open Sans Light"/>
              <w:sz w:val="18"/>
              <w:szCs w:val="18"/>
            </w:rPr>
            <w:t xml:space="preserve">(1), </w:t>
          </w:r>
          <w:r w:rsidR="00334746">
            <w:rPr>
              <w:rFonts w:ascii="Amasis MT Pro Light" w:hAnsi="Amasis MT Pro Light" w:cs="Open Sans Light"/>
              <w:sz w:val="18"/>
              <w:szCs w:val="18"/>
            </w:rPr>
            <w:t>4</w:t>
          </w:r>
          <w:r w:rsidR="00587B81">
            <w:rPr>
              <w:rFonts w:ascii="Amasis MT Pro Light" w:hAnsi="Amasis MT Pro Light" w:cs="Open Sans Light"/>
              <w:sz w:val="18"/>
              <w:szCs w:val="18"/>
            </w:rPr>
            <w:t>1</w:t>
          </w:r>
          <w:r w:rsidRPr="00334746">
            <w:rPr>
              <w:rFonts w:ascii="Amasis MT Pro Light" w:hAnsi="Amasis MT Pro Light" w:cs="Open Sans Light"/>
              <w:sz w:val="18"/>
              <w:szCs w:val="18"/>
            </w:rPr>
            <w:t>-</w:t>
          </w:r>
          <w:r w:rsidR="004157A3">
            <w:rPr>
              <w:rFonts w:ascii="Amasis MT Pro Light" w:hAnsi="Amasis MT Pro Light" w:cs="Open Sans Light"/>
              <w:sz w:val="18"/>
              <w:szCs w:val="18"/>
            </w:rPr>
            <w:t>5</w:t>
          </w:r>
          <w:r w:rsidR="00587B81">
            <w:rPr>
              <w:rFonts w:ascii="Amasis MT Pro Light" w:hAnsi="Amasis MT Pro Light" w:cs="Open Sans Light"/>
              <w:sz w:val="18"/>
              <w:szCs w:val="18"/>
            </w:rPr>
            <w:t>3</w:t>
          </w:r>
          <w:r w:rsidRPr="00334746">
            <w:rPr>
              <w:rFonts w:ascii="Amasis MT Pro Light" w:hAnsi="Amasis MT Pro Light" w:cs="Open Sans Light"/>
              <w:sz w:val="18"/>
              <w:szCs w:val="18"/>
            </w:rPr>
            <w:t>.</w:t>
          </w:r>
          <w:r w:rsidRPr="00334746">
            <w:rPr>
              <w:rFonts w:ascii="Amasis MT Pro Light" w:hAnsi="Amasis MT Pro Light"/>
              <w:sz w:val="18"/>
              <w:szCs w:val="18"/>
            </w:rPr>
            <w:t xml:space="preserve"> </w:t>
          </w:r>
          <w:hyperlink r:id="rId2" w:history="1">
            <w:r w:rsidR="00C71A75" w:rsidRPr="004A3FB0">
              <w:rPr>
                <w:rStyle w:val="Hyperlink"/>
                <w:rFonts w:ascii="Amasis MT Pro Light" w:hAnsi="Amasis MT Pro Light"/>
                <w:sz w:val="18"/>
                <w:szCs w:val="18"/>
              </w:rPr>
              <w:t>https://doi.org/</w:t>
            </w:r>
            <w:r w:rsidR="00C71A75" w:rsidRPr="004A3FB0">
              <w:rPr>
                <w:rStyle w:val="Hyperlink"/>
                <w:rFonts w:ascii="Amasis MT Pro Light" w:hAnsi="Amasis MT Pro Light"/>
                <w:sz w:val="18"/>
                <w:szCs w:val="18"/>
              </w:rPr>
              <w:t>10.62843/jefr/2023.5109910</w:t>
            </w:r>
          </w:hyperlink>
          <w:r w:rsidR="00C71A75">
            <w:rPr>
              <w:rFonts w:ascii="Amasis MT Pro Light" w:hAnsi="Amasis MT Pro Light"/>
              <w:sz w:val="18"/>
              <w:szCs w:val="18"/>
            </w:rPr>
            <w:t xml:space="preserve"> </w:t>
          </w:r>
        </w:p>
      </w:tc>
    </w:tr>
    <w:tr w:rsidR="004A7475" w:rsidRPr="00B14C28" w14:paraId="1967659A" w14:textId="77777777" w:rsidTr="0052676A">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6" w:space="0" w:color="auto"/>
          </w:tcBorders>
          <w:shd w:val="clear" w:color="auto" w:fill="auto"/>
        </w:tcPr>
        <w:p w14:paraId="1FBC647A" w14:textId="77777777" w:rsidR="004A7475" w:rsidRPr="004A7475" w:rsidRDefault="004A7475" w:rsidP="00B14C28">
          <w:pPr>
            <w:pStyle w:val="Footer"/>
            <w:ind w:left="-106"/>
            <w:rPr>
              <w:rFonts w:ascii="Amasis MT Pro Light" w:hAnsi="Amasis MT Pro Light" w:cs="Open Sans"/>
              <w:b/>
              <w:bCs/>
              <w:sz w:val="6"/>
              <w:szCs w:val="6"/>
            </w:rPr>
          </w:pPr>
        </w:p>
      </w:tc>
    </w:tr>
  </w:tbl>
  <w:p w14:paraId="391E5C9A" w14:textId="77777777" w:rsidR="005C3AA8" w:rsidRPr="002A5E26" w:rsidRDefault="005C3AA8">
    <w:pPr>
      <w:pStyle w:val="Footer"/>
      <w:rPr>
        <w:rFonts w:ascii="Amasis MT Pro Light" w:hAnsi="Amasis MT Pro Light"/>
        <w:bC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7C2FA" w14:textId="77777777" w:rsidR="00E9597A" w:rsidRDefault="00E9597A" w:rsidP="00F864B3">
      <w:pPr>
        <w:spacing w:after="0" w:line="240" w:lineRule="auto"/>
      </w:pPr>
      <w:r>
        <w:separator/>
      </w:r>
    </w:p>
  </w:footnote>
  <w:footnote w:type="continuationSeparator" w:id="0">
    <w:p w14:paraId="6594662A" w14:textId="77777777" w:rsidR="00E9597A" w:rsidRDefault="00E9597A" w:rsidP="00F8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JSSR"/>
      <w:tblW w:w="0" w:type="auto"/>
      <w:tblBorders>
        <w:top w:val="none" w:sz="0" w:space="0" w:color="auto"/>
        <w:bottom w:val="single" w:sz="4" w:space="0" w:color="808080" w:themeColor="background1" w:themeShade="80"/>
      </w:tblBorders>
      <w:tblLook w:val="04A0" w:firstRow="1" w:lastRow="0" w:firstColumn="1" w:lastColumn="0" w:noHBand="0" w:noVBand="1"/>
    </w:tblPr>
    <w:tblGrid>
      <w:gridCol w:w="10224"/>
    </w:tblGrid>
    <w:tr w:rsidR="005C591A" w14:paraId="0C439409" w14:textId="77777777" w:rsidTr="00817F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F3BA6B" w14:textId="3B63814F" w:rsidR="005C591A" w:rsidRPr="005C591A" w:rsidRDefault="004A0E1A" w:rsidP="006304DD">
          <w:pPr>
            <w:pStyle w:val="Header"/>
            <w:spacing w:after="60"/>
            <w:rPr>
              <w:i/>
              <w:iCs/>
            </w:rPr>
          </w:pPr>
          <w:r w:rsidRPr="004A0E1A">
            <w:rPr>
              <w:rFonts w:ascii="Amasis MT Pro Light" w:hAnsi="Amasis MT Pro Light"/>
              <w:b w:val="0"/>
              <w:bCs/>
              <w:i/>
              <w:iCs/>
              <w:color w:val="auto"/>
            </w:rPr>
            <w:t>Trends and Innovations in the Prospects of Distance Learning</w:t>
          </w:r>
        </w:p>
      </w:tc>
    </w:tr>
  </w:tbl>
  <w:p w14:paraId="5B463362" w14:textId="77777777" w:rsidR="00360831" w:rsidRDefault="00360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JSSR"/>
      <w:tblW w:w="0" w:type="auto"/>
      <w:tblBorders>
        <w:top w:val="none" w:sz="0" w:space="0" w:color="auto"/>
        <w:bottom w:val="single" w:sz="4" w:space="0" w:color="808080" w:themeColor="background1" w:themeShade="80"/>
      </w:tblBorders>
      <w:tblLook w:val="04A0" w:firstRow="1" w:lastRow="0" w:firstColumn="1" w:lastColumn="0" w:noHBand="0" w:noVBand="1"/>
    </w:tblPr>
    <w:tblGrid>
      <w:gridCol w:w="10224"/>
    </w:tblGrid>
    <w:tr w:rsidR="00360831" w14:paraId="33060BA1" w14:textId="77777777" w:rsidTr="005C59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F636427" w14:textId="2CB7AD97" w:rsidR="00360831" w:rsidRPr="006304DD" w:rsidRDefault="004157A3" w:rsidP="006304DD">
          <w:pPr>
            <w:pStyle w:val="Header"/>
            <w:spacing w:after="60"/>
            <w:rPr>
              <w:rFonts w:ascii="Amasis MT Pro Light" w:hAnsi="Amasis MT Pro Light"/>
              <w:b w:val="0"/>
              <w:bCs/>
              <w:i/>
              <w:iCs/>
              <w:color w:val="auto"/>
              <w:lang w:val="da-DK"/>
            </w:rPr>
          </w:pPr>
          <w:r>
            <w:rPr>
              <w:rFonts w:ascii="Amasis MT Pro Light" w:hAnsi="Amasis MT Pro Light"/>
              <w:b w:val="0"/>
              <w:bCs/>
              <w:i/>
              <w:iCs/>
              <w:color w:val="auto"/>
              <w:lang w:val="da-DK"/>
            </w:rPr>
            <w:t>Ghulam Muhammad</w:t>
          </w:r>
        </w:p>
      </w:tc>
    </w:tr>
  </w:tbl>
  <w:p w14:paraId="531BB22F" w14:textId="77777777" w:rsidR="00360831" w:rsidRDefault="00360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JSSR"/>
      <w:tblW w:w="5000" w:type="pct"/>
      <w:tblBorders>
        <w:top w:val="none" w:sz="0" w:space="0" w:color="auto"/>
        <w:bottom w:val="none" w:sz="0" w:space="0" w:color="auto"/>
      </w:tblBorders>
      <w:tblLook w:val="04A0" w:firstRow="1" w:lastRow="0" w:firstColumn="1" w:lastColumn="0" w:noHBand="0" w:noVBand="1"/>
    </w:tblPr>
    <w:tblGrid>
      <w:gridCol w:w="8369"/>
      <w:gridCol w:w="1855"/>
    </w:tblGrid>
    <w:tr w:rsidR="002077A2" w14:paraId="3BDFBC51" w14:textId="77777777" w:rsidTr="00817F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9F9B69F" w14:textId="73F8E6AE" w:rsidR="002077A2" w:rsidRPr="001B636C" w:rsidRDefault="001B636C" w:rsidP="00246430">
          <w:pPr>
            <w:pStyle w:val="Header"/>
            <w:ind w:right="-56"/>
            <w:jc w:val="right"/>
            <w:rPr>
              <w:rFonts w:ascii="Amasis MT Pro Light" w:hAnsi="Amasis MT Pro Light"/>
              <w:b w:val="0"/>
              <w:bCs/>
              <w:color w:val="auto"/>
            </w:rPr>
          </w:pPr>
          <w:r w:rsidRPr="001B636C">
            <w:rPr>
              <w:rFonts w:ascii="Amasis MT Pro Light" w:hAnsi="Amasis MT Pro Light"/>
              <w:b w:val="0"/>
              <w:bCs/>
              <w:color w:val="auto"/>
            </w:rPr>
            <w:t>Journal of Education and Finance Review (JEFR)</w:t>
          </w:r>
        </w:p>
      </w:tc>
    </w:tr>
    <w:tr w:rsidR="00037123" w14:paraId="1BA5B918" w14:textId="77777777" w:rsidTr="00037123">
      <w:trPr>
        <w:trHeight w:val="30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11483F01" w14:textId="3DE8BEA8" w:rsidR="002077A2" w:rsidRPr="00827435" w:rsidRDefault="00827435" w:rsidP="00246430">
          <w:pPr>
            <w:pStyle w:val="Header"/>
            <w:ind w:right="-56"/>
            <w:jc w:val="right"/>
            <w:rPr>
              <w:rFonts w:ascii="Amasis MT Pro Light" w:hAnsi="Amasis MT Pro Light"/>
              <w:bCs/>
            </w:rPr>
          </w:pPr>
          <w:r w:rsidRPr="00827435">
            <w:rPr>
              <w:rFonts w:ascii="Amasis MT Pro Light" w:hAnsi="Amasis MT Pro Light"/>
              <w:bCs/>
            </w:rPr>
            <w:t>ISSN (Online): 3006-9211</w:t>
          </w:r>
        </w:p>
      </w:tc>
    </w:tr>
    <w:tr w:rsidR="006D4525" w14:paraId="703F39A9" w14:textId="77777777" w:rsidTr="00037123">
      <w:tc>
        <w:tcPr>
          <w:cnfStyle w:val="001000000000" w:firstRow="0" w:lastRow="0" w:firstColumn="1" w:lastColumn="0" w:oddVBand="0" w:evenVBand="0" w:oddHBand="0" w:evenHBand="0" w:firstRowFirstColumn="0" w:firstRowLastColumn="0" w:lastRowFirstColumn="0" w:lastRowLastColumn="0"/>
          <w:tcW w:w="4093" w:type="pct"/>
          <w:tcBorders>
            <w:bottom w:val="single" w:sz="4" w:space="0" w:color="000000" w:themeColor="text1"/>
          </w:tcBorders>
          <w:shd w:val="clear" w:color="auto" w:fill="auto"/>
        </w:tcPr>
        <w:p w14:paraId="3FBA9C3E" w14:textId="77777777" w:rsidR="002077A2" w:rsidRDefault="002077A2" w:rsidP="002077A2">
          <w:pPr>
            <w:pStyle w:val="Header"/>
          </w:pPr>
        </w:p>
      </w:tc>
      <w:tc>
        <w:tcPr>
          <w:tcW w:w="907" w:type="pct"/>
          <w:tcBorders>
            <w:bottom w:val="single" w:sz="4" w:space="0" w:color="000000" w:themeColor="text1"/>
          </w:tcBorders>
          <w:shd w:val="clear" w:color="auto" w:fill="D9D9D9" w:themeFill="background1" w:themeFillShade="D9"/>
          <w:vAlign w:val="center"/>
        </w:tcPr>
        <w:p w14:paraId="7508DE25" w14:textId="77777777" w:rsidR="002077A2" w:rsidRPr="00A57CE2" w:rsidRDefault="002077A2" w:rsidP="002077A2">
          <w:pPr>
            <w:pStyle w:val="Header"/>
            <w:jc w:val="right"/>
            <w:cnfStyle w:val="000000000000" w:firstRow="0" w:lastRow="0" w:firstColumn="0" w:lastColumn="0" w:oddVBand="0" w:evenVBand="0" w:oddHBand="0" w:evenHBand="0" w:firstRowFirstColumn="0" w:firstRowLastColumn="0" w:lastRowFirstColumn="0" w:lastRowLastColumn="0"/>
            <w:rPr>
              <w:rFonts w:ascii="Amasis MT Pro Light" w:hAnsi="Amasis MT Pro Light"/>
              <w:b/>
              <w:bCs/>
              <w:sz w:val="16"/>
              <w:szCs w:val="18"/>
            </w:rPr>
          </w:pPr>
          <w:r w:rsidRPr="00A57CE2">
            <w:rPr>
              <w:rFonts w:ascii="Amasis MT Pro Light" w:hAnsi="Amasis MT Pro Light"/>
              <w:b/>
              <w:bCs/>
              <w:sz w:val="16"/>
              <w:szCs w:val="18"/>
            </w:rPr>
            <w:t>RESEARCH ARTICLE</w:t>
          </w:r>
        </w:p>
      </w:tc>
    </w:tr>
  </w:tbl>
  <w:p w14:paraId="512FBFA3" w14:textId="26B472DA" w:rsidR="002077A2" w:rsidRDefault="002077A2" w:rsidP="002077A2">
    <w:pPr>
      <w:pStyle w:val="Header"/>
    </w:pPr>
    <w:r>
      <w:rPr>
        <w:rFonts w:ascii="Verdana Pro Cond Semibold" w:hAnsi="Verdana Pro Cond Semibold"/>
        <w:b/>
        <w:noProof/>
        <w:color w:val="1054C8"/>
        <w:sz w:val="25"/>
        <w:szCs w:val="25"/>
      </w:rPr>
      <w:drawing>
        <wp:anchor distT="0" distB="0" distL="114300" distR="114300" simplePos="0" relativeHeight="251659264" behindDoc="0" locked="0" layoutInCell="1" allowOverlap="1" wp14:anchorId="79A85A8A" wp14:editId="2D459E2F">
          <wp:simplePos x="0" y="0"/>
          <wp:positionH relativeFrom="column">
            <wp:posOffset>-3240</wp:posOffset>
          </wp:positionH>
          <wp:positionV relativeFrom="paragraph">
            <wp:posOffset>-701634</wp:posOffset>
          </wp:positionV>
          <wp:extent cx="621281" cy="697136"/>
          <wp:effectExtent l="0" t="0" r="7620" b="8255"/>
          <wp:wrapNone/>
          <wp:docPr id="1782891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91867" name="Picture 1"/>
                  <pic:cNvPicPr/>
                </pic:nvPicPr>
                <pic:blipFill>
                  <a:blip r:embed="rId1"/>
                  <a:stretch>
                    <a:fillRect/>
                  </a:stretch>
                </pic:blipFill>
                <pic:spPr>
                  <a:xfrm>
                    <a:off x="0" y="0"/>
                    <a:ext cx="621281" cy="6971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5046"/>
    <w:multiLevelType w:val="hybridMultilevel"/>
    <w:tmpl w:val="AE8478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07E02"/>
    <w:multiLevelType w:val="multilevel"/>
    <w:tmpl w:val="C0F277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1B3499"/>
    <w:multiLevelType w:val="hybridMultilevel"/>
    <w:tmpl w:val="1BD07A5C"/>
    <w:lvl w:ilvl="0" w:tplc="7E14613E">
      <w:start w:val="1"/>
      <w:numFmt w:val="bullet"/>
      <w:lvlText w:val=""/>
      <w:lvlJc w:val="left"/>
      <w:pPr>
        <w:ind w:left="-144" w:hanging="360"/>
      </w:pPr>
      <w:rPr>
        <w:rFonts w:ascii="Wingdings" w:hAnsi="Wingdings" w:cs="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0772C"/>
    <w:multiLevelType w:val="hybridMultilevel"/>
    <w:tmpl w:val="2D3A9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70BE4"/>
    <w:multiLevelType w:val="hybridMultilevel"/>
    <w:tmpl w:val="D6646396"/>
    <w:lvl w:ilvl="0" w:tplc="03E0237C">
      <w:start w:val="1"/>
      <w:numFmt w:val="decimal"/>
      <w:lvlText w:val="%1-"/>
      <w:lvlJc w:val="left"/>
      <w:pPr>
        <w:ind w:left="-72" w:hanging="360"/>
      </w:pPr>
      <w:rPr>
        <w:rFonts w:hint="default"/>
        <w:color w:val="000000"/>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5" w15:restartNumberingAfterBreak="0">
    <w:nsid w:val="6C420061"/>
    <w:multiLevelType w:val="hybridMultilevel"/>
    <w:tmpl w:val="554CBEB6"/>
    <w:lvl w:ilvl="0" w:tplc="7E14613E">
      <w:start w:val="1"/>
      <w:numFmt w:val="bullet"/>
      <w:lvlText w:val=""/>
      <w:lvlJc w:val="left"/>
      <w:pPr>
        <w:ind w:left="-144" w:hanging="360"/>
      </w:pPr>
      <w:rPr>
        <w:rFonts w:ascii="Wingdings" w:hAnsi="Wingdings" w:cs="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0D65A7"/>
    <w:multiLevelType w:val="multilevel"/>
    <w:tmpl w:val="C0F277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F3D7F1"/>
    <w:multiLevelType w:val="singleLevel"/>
    <w:tmpl w:val="56F92FC9"/>
    <w:lvl w:ilvl="0">
      <w:numFmt w:val="bullet"/>
      <w:lvlText w:val="·"/>
      <w:lvlJc w:val="left"/>
      <w:pPr>
        <w:tabs>
          <w:tab w:val="num" w:pos="720"/>
        </w:tabs>
        <w:ind w:left="720" w:hanging="432"/>
      </w:pPr>
      <w:rPr>
        <w:rFonts w:ascii="Symbol" w:hAnsi="Symbol" w:hint="default"/>
        <w:color w:val="000000"/>
      </w:rPr>
    </w:lvl>
  </w:abstractNum>
  <w:abstractNum w:abstractNumId="8" w15:restartNumberingAfterBreak="0">
    <w:nsid w:val="7F012373"/>
    <w:multiLevelType w:val="hybridMultilevel"/>
    <w:tmpl w:val="32F65AE0"/>
    <w:lvl w:ilvl="0" w:tplc="0F88312E">
      <w:start w:val="1"/>
      <w:numFmt w:val="bullet"/>
      <w:lvlText w:val=""/>
      <w:lvlJc w:val="left"/>
      <w:pPr>
        <w:ind w:left="-144" w:hanging="360"/>
      </w:pPr>
      <w:rPr>
        <w:rFonts w:ascii="Wingdings"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104267">
    <w:abstractNumId w:val="0"/>
  </w:num>
  <w:num w:numId="2" w16cid:durableId="93790509">
    <w:abstractNumId w:val="3"/>
  </w:num>
  <w:num w:numId="3" w16cid:durableId="1491864877">
    <w:abstractNumId w:val="7"/>
  </w:num>
  <w:num w:numId="4" w16cid:durableId="321126472">
    <w:abstractNumId w:val="8"/>
  </w:num>
  <w:num w:numId="5" w16cid:durableId="193808325">
    <w:abstractNumId w:val="4"/>
  </w:num>
  <w:num w:numId="6" w16cid:durableId="1238588072">
    <w:abstractNumId w:val="5"/>
  </w:num>
  <w:num w:numId="7" w16cid:durableId="722481572">
    <w:abstractNumId w:val="2"/>
  </w:num>
  <w:num w:numId="8" w16cid:durableId="1422024290">
    <w:abstractNumId w:val="1"/>
  </w:num>
  <w:num w:numId="9" w16cid:durableId="241335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3NDY1sASyTM3NDJR0lIJTi4sz8/NACgxrAbNXXYAsAAAA"/>
  </w:docVars>
  <w:rsids>
    <w:rsidRoot w:val="00F864B3"/>
    <w:rsid w:val="00024463"/>
    <w:rsid w:val="00037123"/>
    <w:rsid w:val="0005555B"/>
    <w:rsid w:val="0009285A"/>
    <w:rsid w:val="000A7511"/>
    <w:rsid w:val="000C4530"/>
    <w:rsid w:val="000F00DF"/>
    <w:rsid w:val="000F1F8C"/>
    <w:rsid w:val="000F2827"/>
    <w:rsid w:val="00105FA8"/>
    <w:rsid w:val="00114E51"/>
    <w:rsid w:val="00123E68"/>
    <w:rsid w:val="001313D1"/>
    <w:rsid w:val="0014361A"/>
    <w:rsid w:val="00154E1B"/>
    <w:rsid w:val="00157DAB"/>
    <w:rsid w:val="001B636C"/>
    <w:rsid w:val="001D50B6"/>
    <w:rsid w:val="001E6AB4"/>
    <w:rsid w:val="002077A2"/>
    <w:rsid w:val="00225445"/>
    <w:rsid w:val="00227F9A"/>
    <w:rsid w:val="00246430"/>
    <w:rsid w:val="002614FB"/>
    <w:rsid w:val="00294401"/>
    <w:rsid w:val="0029568F"/>
    <w:rsid w:val="002A5E26"/>
    <w:rsid w:val="002B7829"/>
    <w:rsid w:val="002C47E5"/>
    <w:rsid w:val="00334746"/>
    <w:rsid w:val="00360831"/>
    <w:rsid w:val="00372E55"/>
    <w:rsid w:val="003837BE"/>
    <w:rsid w:val="003B6EFE"/>
    <w:rsid w:val="003C564E"/>
    <w:rsid w:val="003D2F92"/>
    <w:rsid w:val="00414FAB"/>
    <w:rsid w:val="004157A3"/>
    <w:rsid w:val="00443182"/>
    <w:rsid w:val="004446C0"/>
    <w:rsid w:val="00445951"/>
    <w:rsid w:val="00455DCE"/>
    <w:rsid w:val="00486960"/>
    <w:rsid w:val="004A0E1A"/>
    <w:rsid w:val="004A467E"/>
    <w:rsid w:val="004A7475"/>
    <w:rsid w:val="004B7697"/>
    <w:rsid w:val="004D2B31"/>
    <w:rsid w:val="004E6911"/>
    <w:rsid w:val="0052676A"/>
    <w:rsid w:val="005418B3"/>
    <w:rsid w:val="0054205A"/>
    <w:rsid w:val="00587B81"/>
    <w:rsid w:val="005A1DAA"/>
    <w:rsid w:val="005A2BF0"/>
    <w:rsid w:val="005C3AA8"/>
    <w:rsid w:val="005C591A"/>
    <w:rsid w:val="005D6035"/>
    <w:rsid w:val="005F5B49"/>
    <w:rsid w:val="00611DDF"/>
    <w:rsid w:val="006304DD"/>
    <w:rsid w:val="00637C6F"/>
    <w:rsid w:val="006445B0"/>
    <w:rsid w:val="00683E6E"/>
    <w:rsid w:val="006965C4"/>
    <w:rsid w:val="006A5E0E"/>
    <w:rsid w:val="006D4525"/>
    <w:rsid w:val="006F6323"/>
    <w:rsid w:val="00725926"/>
    <w:rsid w:val="00737803"/>
    <w:rsid w:val="00741804"/>
    <w:rsid w:val="00772343"/>
    <w:rsid w:val="00780BB2"/>
    <w:rsid w:val="007D005B"/>
    <w:rsid w:val="007F3FB5"/>
    <w:rsid w:val="0082579D"/>
    <w:rsid w:val="00827435"/>
    <w:rsid w:val="008337F0"/>
    <w:rsid w:val="008376B0"/>
    <w:rsid w:val="008443AA"/>
    <w:rsid w:val="00847228"/>
    <w:rsid w:val="00852DBE"/>
    <w:rsid w:val="00863040"/>
    <w:rsid w:val="008759FE"/>
    <w:rsid w:val="008D081E"/>
    <w:rsid w:val="008D56E9"/>
    <w:rsid w:val="00905AEF"/>
    <w:rsid w:val="009179C8"/>
    <w:rsid w:val="00917A69"/>
    <w:rsid w:val="00932756"/>
    <w:rsid w:val="00962B25"/>
    <w:rsid w:val="00971A83"/>
    <w:rsid w:val="009B3C46"/>
    <w:rsid w:val="009B5B38"/>
    <w:rsid w:val="009C7F3D"/>
    <w:rsid w:val="009F2D04"/>
    <w:rsid w:val="00A23AC4"/>
    <w:rsid w:val="00A4275F"/>
    <w:rsid w:val="00A45255"/>
    <w:rsid w:val="00A57CE2"/>
    <w:rsid w:val="00A72C1F"/>
    <w:rsid w:val="00A76833"/>
    <w:rsid w:val="00A850C8"/>
    <w:rsid w:val="00A9174D"/>
    <w:rsid w:val="00AB371F"/>
    <w:rsid w:val="00AB758C"/>
    <w:rsid w:val="00AC43F4"/>
    <w:rsid w:val="00AE11E2"/>
    <w:rsid w:val="00B07D70"/>
    <w:rsid w:val="00B14C28"/>
    <w:rsid w:val="00B45BFC"/>
    <w:rsid w:val="00B50FA5"/>
    <w:rsid w:val="00B541C4"/>
    <w:rsid w:val="00B61CA1"/>
    <w:rsid w:val="00B82202"/>
    <w:rsid w:val="00B86D0B"/>
    <w:rsid w:val="00BE6B01"/>
    <w:rsid w:val="00BF23D0"/>
    <w:rsid w:val="00C04B36"/>
    <w:rsid w:val="00C04CAB"/>
    <w:rsid w:val="00C16517"/>
    <w:rsid w:val="00C16C05"/>
    <w:rsid w:val="00C218E0"/>
    <w:rsid w:val="00C609EC"/>
    <w:rsid w:val="00C71A75"/>
    <w:rsid w:val="00CA2ADE"/>
    <w:rsid w:val="00CB514A"/>
    <w:rsid w:val="00CD2701"/>
    <w:rsid w:val="00CD6D7B"/>
    <w:rsid w:val="00CE64A4"/>
    <w:rsid w:val="00D24EA2"/>
    <w:rsid w:val="00D27B81"/>
    <w:rsid w:val="00D54278"/>
    <w:rsid w:val="00D6226E"/>
    <w:rsid w:val="00D6254A"/>
    <w:rsid w:val="00D67089"/>
    <w:rsid w:val="00D720F1"/>
    <w:rsid w:val="00D85FD1"/>
    <w:rsid w:val="00DA7B0C"/>
    <w:rsid w:val="00DB4E78"/>
    <w:rsid w:val="00DB6B60"/>
    <w:rsid w:val="00E01F8B"/>
    <w:rsid w:val="00E15EFA"/>
    <w:rsid w:val="00E22C21"/>
    <w:rsid w:val="00E509B7"/>
    <w:rsid w:val="00E66BC2"/>
    <w:rsid w:val="00E84805"/>
    <w:rsid w:val="00E86583"/>
    <w:rsid w:val="00E90F48"/>
    <w:rsid w:val="00E9597A"/>
    <w:rsid w:val="00EF3DE1"/>
    <w:rsid w:val="00F434F0"/>
    <w:rsid w:val="00F527C9"/>
    <w:rsid w:val="00F7084D"/>
    <w:rsid w:val="00F74B01"/>
    <w:rsid w:val="00F864B3"/>
    <w:rsid w:val="00F92016"/>
    <w:rsid w:val="00FD68B0"/>
    <w:rsid w:val="00FE4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2E5A06"/>
  <w14:defaultImageDpi w14:val="330"/>
  <w15:chartTrackingRefBased/>
  <w15:docId w15:val="{63CAE63F-0D41-4B20-B8E6-FECAA1C6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6D0B"/>
  </w:style>
  <w:style w:type="paragraph" w:styleId="Heading1">
    <w:name w:val="heading 1"/>
    <w:basedOn w:val="Normal"/>
    <w:next w:val="Normal"/>
    <w:link w:val="Heading1Char"/>
    <w:uiPriority w:val="9"/>
    <w:rsid w:val="00F86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rsid w:val="00F86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rsid w:val="00F86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SSR">
    <w:name w:val="JSSR"/>
    <w:basedOn w:val="TableNormal"/>
    <w:uiPriority w:val="99"/>
    <w:rsid w:val="00E90F48"/>
    <w:pPr>
      <w:spacing w:after="0" w:line="240" w:lineRule="auto"/>
    </w:pPr>
    <w:rPr>
      <w:rFonts w:ascii="Merriweather" w:hAnsi="Merriweather"/>
      <w:sz w:val="20"/>
    </w:rPr>
    <w:tblPr>
      <w:tblStyleColBandSize w:val="1"/>
      <w:tblBorders>
        <w:top w:val="single" w:sz="4" w:space="0" w:color="011893"/>
        <w:bottom w:val="single" w:sz="4" w:space="0" w:color="011893"/>
      </w:tblBorders>
    </w:tblPr>
    <w:tblStylePr w:type="firstRow">
      <w:pPr>
        <w:jc w:val="center"/>
      </w:pPr>
      <w:rPr>
        <w:rFonts w:ascii="Merriweather Light" w:hAnsi="Merriweather Light"/>
        <w:b/>
        <w:color w:val="011893"/>
        <w:sz w:val="20"/>
      </w:rPr>
      <w:tblPr/>
      <w:tcPr>
        <w:tcBorders>
          <w:top w:val="single" w:sz="4" w:space="0" w:color="011893"/>
          <w:left w:val="nil"/>
          <w:bottom w:val="single" w:sz="4" w:space="0" w:color="011893"/>
          <w:right w:val="nil"/>
          <w:insideH w:val="nil"/>
          <w:insideV w:val="nil"/>
          <w:tl2br w:val="nil"/>
          <w:tr2bl w:val="nil"/>
        </w:tcBorders>
        <w:shd w:val="clear" w:color="auto" w:fill="F2F2F2" w:themeFill="background1" w:themeFillShade="F2"/>
        <w:vAlign w:val="center"/>
      </w:tcPr>
    </w:tblStylePr>
    <w:tblStylePr w:type="lastRow">
      <w:rPr>
        <w:rFonts w:ascii="Merriweather Light" w:hAnsi="Merriweather Light"/>
        <w:sz w:val="20"/>
      </w:rPr>
      <w:tblPr/>
      <w:tcPr>
        <w:tcBorders>
          <w:bottom w:val="nil"/>
        </w:tcBorders>
        <w:shd w:val="clear" w:color="auto" w:fill="FFFFFF" w:themeFill="background1"/>
      </w:tcPr>
    </w:tblStylePr>
    <w:tblStylePr w:type="firstCol">
      <w:pPr>
        <w:jc w:val="left"/>
      </w:pPr>
      <w:tblPr/>
      <w:tcPr>
        <w:vAlign w:val="center"/>
      </w:tcPr>
    </w:tblStylePr>
    <w:tblStylePr w:type="band1Vert">
      <w:pPr>
        <w:jc w:val="center"/>
      </w:pPr>
      <w:tblPr/>
      <w:tcPr>
        <w:vAlign w:val="center"/>
      </w:tcPr>
    </w:tblStylePr>
    <w:tblStylePr w:type="band2Vert">
      <w:pPr>
        <w:jc w:val="center"/>
      </w:pPr>
      <w:tblPr/>
      <w:tcPr>
        <w:vAlign w:val="center"/>
      </w:tcPr>
    </w:tblStylePr>
    <w:tblStylePr w:type="nwCell">
      <w:pPr>
        <w:jc w:val="left"/>
      </w:pPr>
      <w:tblPr/>
      <w:tcPr>
        <w:vAlign w:val="center"/>
      </w:tcPr>
    </w:tblStylePr>
  </w:style>
  <w:style w:type="character" w:customStyle="1" w:styleId="Heading1Char">
    <w:name w:val="Heading 1 Char"/>
    <w:basedOn w:val="DefaultParagraphFont"/>
    <w:link w:val="Heading1"/>
    <w:uiPriority w:val="9"/>
    <w:rsid w:val="00F86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6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4B3"/>
    <w:rPr>
      <w:rFonts w:eastAsiaTheme="majorEastAsia" w:cstheme="majorBidi"/>
      <w:color w:val="272727" w:themeColor="text1" w:themeTint="D8"/>
    </w:rPr>
  </w:style>
  <w:style w:type="paragraph" w:styleId="Title">
    <w:name w:val="Title"/>
    <w:basedOn w:val="Normal"/>
    <w:next w:val="Normal"/>
    <w:link w:val="TitleChar"/>
    <w:uiPriority w:val="10"/>
    <w:rsid w:val="00F86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86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864B3"/>
    <w:pPr>
      <w:spacing w:before="160"/>
      <w:jc w:val="center"/>
    </w:pPr>
    <w:rPr>
      <w:i/>
      <w:iCs/>
      <w:color w:val="404040" w:themeColor="text1" w:themeTint="BF"/>
    </w:rPr>
  </w:style>
  <w:style w:type="character" w:customStyle="1" w:styleId="QuoteChar">
    <w:name w:val="Quote Char"/>
    <w:basedOn w:val="DefaultParagraphFont"/>
    <w:link w:val="Quote"/>
    <w:uiPriority w:val="29"/>
    <w:rsid w:val="00F864B3"/>
    <w:rPr>
      <w:i/>
      <w:iCs/>
      <w:color w:val="404040" w:themeColor="text1" w:themeTint="BF"/>
    </w:rPr>
  </w:style>
  <w:style w:type="paragraph" w:styleId="ListParagraph">
    <w:name w:val="List Paragraph"/>
    <w:basedOn w:val="Normal"/>
    <w:uiPriority w:val="34"/>
    <w:qFormat/>
    <w:rsid w:val="00F864B3"/>
    <w:pPr>
      <w:ind w:left="720"/>
      <w:contextualSpacing/>
    </w:pPr>
  </w:style>
  <w:style w:type="character" w:styleId="IntenseEmphasis">
    <w:name w:val="Intense Emphasis"/>
    <w:basedOn w:val="DefaultParagraphFont"/>
    <w:uiPriority w:val="21"/>
    <w:rsid w:val="00F864B3"/>
    <w:rPr>
      <w:i/>
      <w:iCs/>
      <w:color w:val="0F4761" w:themeColor="accent1" w:themeShade="BF"/>
    </w:rPr>
  </w:style>
  <w:style w:type="paragraph" w:styleId="IntenseQuote">
    <w:name w:val="Intense Quote"/>
    <w:basedOn w:val="Normal"/>
    <w:next w:val="Normal"/>
    <w:link w:val="IntenseQuoteChar"/>
    <w:uiPriority w:val="30"/>
    <w:rsid w:val="00F86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4B3"/>
    <w:rPr>
      <w:i/>
      <w:iCs/>
      <w:color w:val="0F4761" w:themeColor="accent1" w:themeShade="BF"/>
    </w:rPr>
  </w:style>
  <w:style w:type="character" w:styleId="IntenseReference">
    <w:name w:val="Intense Reference"/>
    <w:basedOn w:val="DefaultParagraphFont"/>
    <w:uiPriority w:val="32"/>
    <w:rsid w:val="00F864B3"/>
    <w:rPr>
      <w:b/>
      <w:bCs/>
      <w:smallCaps/>
      <w:color w:val="0F4761" w:themeColor="accent1" w:themeShade="BF"/>
      <w:spacing w:val="5"/>
    </w:rPr>
  </w:style>
  <w:style w:type="character" w:customStyle="1" w:styleId="fontstyle01">
    <w:name w:val="fontstyle01"/>
    <w:basedOn w:val="DefaultParagraphFont"/>
    <w:rsid w:val="00F864B3"/>
    <w:rPr>
      <w:rFonts w:ascii="ArchivoNarrow-Bold" w:hAnsi="ArchivoNarrow-Bold" w:hint="default"/>
      <w:b/>
      <w:bCs/>
      <w:i w:val="0"/>
      <w:iCs w:val="0"/>
      <w:color w:val="242021"/>
      <w:sz w:val="44"/>
      <w:szCs w:val="44"/>
    </w:rPr>
  </w:style>
  <w:style w:type="character" w:styleId="Hyperlink">
    <w:name w:val="Hyperlink"/>
    <w:basedOn w:val="DefaultParagraphFont"/>
    <w:uiPriority w:val="99"/>
    <w:unhideWhenUsed/>
    <w:rsid w:val="005F5B49"/>
    <w:rPr>
      <w:color w:val="0A13C6"/>
      <w:u w:val="single"/>
    </w:rPr>
  </w:style>
  <w:style w:type="paragraph" w:styleId="Header">
    <w:name w:val="header"/>
    <w:basedOn w:val="Normal"/>
    <w:link w:val="HeaderChar"/>
    <w:uiPriority w:val="99"/>
    <w:unhideWhenUsed/>
    <w:rsid w:val="00F86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4B3"/>
  </w:style>
  <w:style w:type="paragraph" w:styleId="Footer">
    <w:name w:val="footer"/>
    <w:basedOn w:val="Normal"/>
    <w:link w:val="FooterChar"/>
    <w:uiPriority w:val="99"/>
    <w:unhideWhenUsed/>
    <w:rsid w:val="00F8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4B3"/>
  </w:style>
  <w:style w:type="paragraph" w:styleId="FootnoteText">
    <w:name w:val="footnote text"/>
    <w:basedOn w:val="Normal"/>
    <w:link w:val="FootnoteTextChar"/>
    <w:uiPriority w:val="99"/>
    <w:semiHidden/>
    <w:unhideWhenUsed/>
    <w:rsid w:val="00F864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4B3"/>
    <w:rPr>
      <w:sz w:val="20"/>
      <w:szCs w:val="20"/>
    </w:rPr>
  </w:style>
  <w:style w:type="character" w:styleId="FootnoteReference">
    <w:name w:val="footnote reference"/>
    <w:basedOn w:val="DefaultParagraphFont"/>
    <w:uiPriority w:val="99"/>
    <w:semiHidden/>
    <w:unhideWhenUsed/>
    <w:rsid w:val="00F864B3"/>
    <w:rPr>
      <w:vertAlign w:val="superscript"/>
    </w:rPr>
  </w:style>
  <w:style w:type="character" w:styleId="UnresolvedMention">
    <w:name w:val="Unresolved Mention"/>
    <w:basedOn w:val="DefaultParagraphFont"/>
    <w:uiPriority w:val="99"/>
    <w:semiHidden/>
    <w:unhideWhenUsed/>
    <w:rsid w:val="00E01F8B"/>
    <w:rPr>
      <w:color w:val="605E5C"/>
      <w:shd w:val="clear" w:color="auto" w:fill="E1DFDD"/>
    </w:rPr>
  </w:style>
  <w:style w:type="character" w:styleId="PlaceholderText">
    <w:name w:val="Placeholder Text"/>
    <w:basedOn w:val="DefaultParagraphFont"/>
    <w:uiPriority w:val="99"/>
    <w:semiHidden/>
    <w:rsid w:val="00847228"/>
    <w:rPr>
      <w:color w:val="666666"/>
    </w:rPr>
  </w:style>
  <w:style w:type="paragraph" w:customStyle="1" w:styleId="1st">
    <w:name w:val="1st"/>
    <w:basedOn w:val="Normal"/>
    <w:link w:val="1stChar"/>
    <w:qFormat/>
    <w:rsid w:val="00225445"/>
    <w:pPr>
      <w:spacing w:after="120" w:line="276" w:lineRule="auto"/>
      <w:jc w:val="both"/>
    </w:pPr>
    <w:rPr>
      <w:rFonts w:ascii="Amasis MT Pro Light" w:hAnsi="Amasis MT Pro Light"/>
    </w:rPr>
  </w:style>
  <w:style w:type="character" w:customStyle="1" w:styleId="1stChar">
    <w:name w:val="1st Char"/>
    <w:basedOn w:val="DefaultParagraphFont"/>
    <w:link w:val="1st"/>
    <w:rsid w:val="00225445"/>
    <w:rPr>
      <w:rFonts w:ascii="Amasis MT Pro Light" w:hAnsi="Amasis MT Pro Light"/>
    </w:rPr>
  </w:style>
  <w:style w:type="paragraph" w:customStyle="1" w:styleId="2nd">
    <w:name w:val="2nd"/>
    <w:basedOn w:val="Normal"/>
    <w:link w:val="2ndChar"/>
    <w:qFormat/>
    <w:rsid w:val="00225445"/>
    <w:pPr>
      <w:spacing w:after="120" w:line="276" w:lineRule="auto"/>
      <w:ind w:firstLine="720"/>
      <w:jc w:val="both"/>
    </w:pPr>
    <w:rPr>
      <w:rFonts w:ascii="Amasis MT Pro Light" w:hAnsi="Amasis MT Pro Light"/>
    </w:rPr>
  </w:style>
  <w:style w:type="character" w:customStyle="1" w:styleId="2ndChar">
    <w:name w:val="2nd Char"/>
    <w:basedOn w:val="DefaultParagraphFont"/>
    <w:link w:val="2nd"/>
    <w:rsid w:val="00225445"/>
    <w:rPr>
      <w:rFonts w:ascii="Amasis MT Pro Light" w:hAnsi="Amasis MT Pro Light"/>
    </w:rPr>
  </w:style>
  <w:style w:type="paragraph" w:customStyle="1" w:styleId="Last">
    <w:name w:val="Last"/>
    <w:basedOn w:val="Normal"/>
    <w:link w:val="LastChar"/>
    <w:qFormat/>
    <w:rsid w:val="006A5E0E"/>
    <w:pPr>
      <w:spacing w:after="0" w:line="276" w:lineRule="auto"/>
      <w:ind w:firstLine="720"/>
      <w:jc w:val="both"/>
    </w:pPr>
    <w:rPr>
      <w:rFonts w:ascii="Amasis MT Pro Light" w:hAnsi="Amasis MT Pro Light"/>
    </w:rPr>
  </w:style>
  <w:style w:type="character" w:customStyle="1" w:styleId="LastChar">
    <w:name w:val="Last Char"/>
    <w:basedOn w:val="DefaultParagraphFont"/>
    <w:link w:val="Last"/>
    <w:rsid w:val="006A5E0E"/>
    <w:rPr>
      <w:rFonts w:ascii="Amasis MT Pro Light" w:hAnsi="Amasis MT Pro Light"/>
    </w:rPr>
  </w:style>
  <w:style w:type="paragraph" w:customStyle="1" w:styleId="Main">
    <w:name w:val="Main"/>
    <w:basedOn w:val="Normal"/>
    <w:link w:val="MainChar"/>
    <w:qFormat/>
    <w:rsid w:val="00FD68B0"/>
    <w:pPr>
      <w:spacing w:after="0" w:line="276" w:lineRule="auto"/>
      <w:jc w:val="both"/>
    </w:pPr>
    <w:rPr>
      <w:rFonts w:ascii="Amasis MT Pro Light" w:hAnsi="Amasis MT Pro Light"/>
      <w:b/>
      <w:bCs/>
      <w:sz w:val="24"/>
      <w:szCs w:val="24"/>
    </w:rPr>
  </w:style>
  <w:style w:type="character" w:customStyle="1" w:styleId="MainChar">
    <w:name w:val="Main Char"/>
    <w:basedOn w:val="DefaultParagraphFont"/>
    <w:link w:val="Main"/>
    <w:rsid w:val="00FD68B0"/>
    <w:rPr>
      <w:rFonts w:ascii="Amasis MT Pro Light" w:hAnsi="Amasis MT Pro Light"/>
      <w:b/>
      <w:bCs/>
      <w:sz w:val="24"/>
      <w:szCs w:val="24"/>
    </w:rPr>
  </w:style>
  <w:style w:type="paragraph" w:customStyle="1" w:styleId="Sec">
    <w:name w:val="Sec."/>
    <w:basedOn w:val="Normal"/>
    <w:link w:val="SecChar"/>
    <w:qFormat/>
    <w:rsid w:val="00FD68B0"/>
    <w:pPr>
      <w:spacing w:after="0" w:line="276" w:lineRule="auto"/>
      <w:jc w:val="both"/>
    </w:pPr>
    <w:rPr>
      <w:rFonts w:ascii="Amasis MT Pro Light" w:hAnsi="Amasis MT Pro Light"/>
      <w:b/>
      <w:bCs/>
      <w:color w:val="000000" w:themeColor="text1"/>
    </w:rPr>
  </w:style>
  <w:style w:type="character" w:customStyle="1" w:styleId="SecChar">
    <w:name w:val="Sec. Char"/>
    <w:basedOn w:val="DefaultParagraphFont"/>
    <w:link w:val="Sec"/>
    <w:rsid w:val="00FD68B0"/>
    <w:rPr>
      <w:rFonts w:ascii="Amasis MT Pro Light" w:hAnsi="Amasis MT Pro Light"/>
      <w:b/>
      <w:bCs/>
      <w:color w:val="000000" w:themeColor="text1"/>
    </w:rPr>
  </w:style>
  <w:style w:type="table" w:styleId="TableGrid">
    <w:name w:val="Table Grid"/>
    <w:basedOn w:val="TableNormal"/>
    <w:uiPriority w:val="39"/>
    <w:rsid w:val="00BE6B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4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80936">
      <w:bodyDiv w:val="1"/>
      <w:marLeft w:val="0"/>
      <w:marRight w:val="0"/>
      <w:marTop w:val="0"/>
      <w:marBottom w:val="0"/>
      <w:divBdr>
        <w:top w:val="none" w:sz="0" w:space="0" w:color="auto"/>
        <w:left w:val="none" w:sz="0" w:space="0" w:color="auto"/>
        <w:bottom w:val="none" w:sz="0" w:space="0" w:color="auto"/>
        <w:right w:val="none" w:sz="0" w:space="0" w:color="auto"/>
      </w:divBdr>
      <w:divsChild>
        <w:div w:id="866867485">
          <w:marLeft w:val="0"/>
          <w:marRight w:val="0"/>
          <w:marTop w:val="0"/>
          <w:marBottom w:val="0"/>
          <w:divBdr>
            <w:top w:val="single" w:sz="6" w:space="0" w:color="AAAAAA"/>
            <w:left w:val="single" w:sz="6" w:space="0" w:color="AAAAAA"/>
            <w:bottom w:val="single" w:sz="6" w:space="0" w:color="AAAAAA"/>
            <w:right w:val="single" w:sz="6" w:space="0" w:color="AAAAAA"/>
          </w:divBdr>
          <w:divsChild>
            <w:div w:id="652028659">
              <w:marLeft w:val="-150"/>
              <w:marRight w:val="-150"/>
              <w:marTop w:val="0"/>
              <w:marBottom w:val="0"/>
              <w:divBdr>
                <w:top w:val="none" w:sz="0" w:space="0" w:color="auto"/>
                <w:left w:val="none" w:sz="0" w:space="0" w:color="auto"/>
                <w:bottom w:val="none" w:sz="0" w:space="0" w:color="auto"/>
                <w:right w:val="none" w:sz="0" w:space="0" w:color="auto"/>
              </w:divBdr>
              <w:divsChild>
                <w:div w:id="480734230">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244152275">
      <w:bodyDiv w:val="1"/>
      <w:marLeft w:val="0"/>
      <w:marRight w:val="0"/>
      <w:marTop w:val="0"/>
      <w:marBottom w:val="0"/>
      <w:divBdr>
        <w:top w:val="none" w:sz="0" w:space="0" w:color="auto"/>
        <w:left w:val="none" w:sz="0" w:space="0" w:color="auto"/>
        <w:bottom w:val="none" w:sz="0" w:space="0" w:color="auto"/>
        <w:right w:val="none" w:sz="0" w:space="0" w:color="auto"/>
      </w:divBdr>
      <w:divsChild>
        <w:div w:id="556622400">
          <w:marLeft w:val="0"/>
          <w:marRight w:val="0"/>
          <w:marTop w:val="0"/>
          <w:marBottom w:val="0"/>
          <w:divBdr>
            <w:top w:val="none" w:sz="0" w:space="0" w:color="auto"/>
            <w:left w:val="none" w:sz="0" w:space="0" w:color="auto"/>
            <w:bottom w:val="none" w:sz="0" w:space="0" w:color="auto"/>
            <w:right w:val="none" w:sz="0" w:space="0" w:color="auto"/>
          </w:divBdr>
        </w:div>
      </w:divsChild>
    </w:div>
    <w:div w:id="581336568">
      <w:bodyDiv w:val="1"/>
      <w:marLeft w:val="0"/>
      <w:marRight w:val="0"/>
      <w:marTop w:val="0"/>
      <w:marBottom w:val="0"/>
      <w:divBdr>
        <w:top w:val="none" w:sz="0" w:space="0" w:color="auto"/>
        <w:left w:val="none" w:sz="0" w:space="0" w:color="auto"/>
        <w:bottom w:val="none" w:sz="0" w:space="0" w:color="auto"/>
        <w:right w:val="none" w:sz="0" w:space="0" w:color="auto"/>
      </w:divBdr>
      <w:divsChild>
        <w:div w:id="1027633311">
          <w:marLeft w:val="0"/>
          <w:marRight w:val="0"/>
          <w:marTop w:val="0"/>
          <w:marBottom w:val="0"/>
          <w:divBdr>
            <w:top w:val="single" w:sz="6" w:space="0" w:color="AAAAAA"/>
            <w:left w:val="single" w:sz="6" w:space="0" w:color="AAAAAA"/>
            <w:bottom w:val="single" w:sz="6" w:space="0" w:color="AAAAAA"/>
            <w:right w:val="single" w:sz="6" w:space="0" w:color="AAAAAA"/>
          </w:divBdr>
          <w:divsChild>
            <w:div w:id="333536437">
              <w:marLeft w:val="-150"/>
              <w:marRight w:val="-150"/>
              <w:marTop w:val="0"/>
              <w:marBottom w:val="0"/>
              <w:divBdr>
                <w:top w:val="none" w:sz="0" w:space="0" w:color="auto"/>
                <w:left w:val="none" w:sz="0" w:space="0" w:color="auto"/>
                <w:bottom w:val="none" w:sz="0" w:space="0" w:color="auto"/>
                <w:right w:val="none" w:sz="0" w:space="0" w:color="auto"/>
              </w:divBdr>
              <w:divsChild>
                <w:div w:id="1418595286">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701781452">
      <w:bodyDiv w:val="1"/>
      <w:marLeft w:val="0"/>
      <w:marRight w:val="0"/>
      <w:marTop w:val="0"/>
      <w:marBottom w:val="0"/>
      <w:divBdr>
        <w:top w:val="none" w:sz="0" w:space="0" w:color="auto"/>
        <w:left w:val="none" w:sz="0" w:space="0" w:color="auto"/>
        <w:bottom w:val="none" w:sz="0" w:space="0" w:color="auto"/>
        <w:right w:val="none" w:sz="0" w:space="0" w:color="auto"/>
      </w:divBdr>
      <w:divsChild>
        <w:div w:id="1548368649">
          <w:marLeft w:val="0"/>
          <w:marRight w:val="0"/>
          <w:marTop w:val="0"/>
          <w:marBottom w:val="0"/>
          <w:divBdr>
            <w:top w:val="single" w:sz="6" w:space="0" w:color="AAAAAA"/>
            <w:left w:val="single" w:sz="6" w:space="0" w:color="AAAAAA"/>
            <w:bottom w:val="single" w:sz="6" w:space="0" w:color="AAAAAA"/>
            <w:right w:val="single" w:sz="6" w:space="0" w:color="AAAAAA"/>
          </w:divBdr>
          <w:divsChild>
            <w:div w:id="958071026">
              <w:marLeft w:val="-150"/>
              <w:marRight w:val="-150"/>
              <w:marTop w:val="0"/>
              <w:marBottom w:val="0"/>
              <w:divBdr>
                <w:top w:val="none" w:sz="0" w:space="0" w:color="auto"/>
                <w:left w:val="none" w:sz="0" w:space="0" w:color="auto"/>
                <w:bottom w:val="none" w:sz="0" w:space="0" w:color="auto"/>
                <w:right w:val="none" w:sz="0" w:space="0" w:color="auto"/>
              </w:divBdr>
              <w:divsChild>
                <w:div w:id="1793285468">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966158038">
      <w:bodyDiv w:val="1"/>
      <w:marLeft w:val="0"/>
      <w:marRight w:val="0"/>
      <w:marTop w:val="0"/>
      <w:marBottom w:val="0"/>
      <w:divBdr>
        <w:top w:val="none" w:sz="0" w:space="0" w:color="auto"/>
        <w:left w:val="none" w:sz="0" w:space="0" w:color="auto"/>
        <w:bottom w:val="none" w:sz="0" w:space="0" w:color="auto"/>
        <w:right w:val="none" w:sz="0" w:space="0" w:color="auto"/>
      </w:divBdr>
      <w:divsChild>
        <w:div w:id="1014071213">
          <w:marLeft w:val="0"/>
          <w:marRight w:val="0"/>
          <w:marTop w:val="0"/>
          <w:marBottom w:val="0"/>
          <w:divBdr>
            <w:top w:val="single" w:sz="6" w:space="0" w:color="AAAAAA"/>
            <w:left w:val="single" w:sz="6" w:space="0" w:color="AAAAAA"/>
            <w:bottom w:val="single" w:sz="6" w:space="0" w:color="AAAAAA"/>
            <w:right w:val="single" w:sz="6" w:space="0" w:color="AAAAAA"/>
          </w:divBdr>
          <w:divsChild>
            <w:div w:id="1120733109">
              <w:marLeft w:val="-150"/>
              <w:marRight w:val="-150"/>
              <w:marTop w:val="0"/>
              <w:marBottom w:val="0"/>
              <w:divBdr>
                <w:top w:val="none" w:sz="0" w:space="0" w:color="auto"/>
                <w:left w:val="none" w:sz="0" w:space="0" w:color="auto"/>
                <w:bottom w:val="none" w:sz="0" w:space="0" w:color="auto"/>
                <w:right w:val="none" w:sz="0" w:space="0" w:color="auto"/>
              </w:divBdr>
              <w:divsChild>
                <w:div w:id="10223789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091007062">
      <w:bodyDiv w:val="1"/>
      <w:marLeft w:val="0"/>
      <w:marRight w:val="0"/>
      <w:marTop w:val="0"/>
      <w:marBottom w:val="0"/>
      <w:divBdr>
        <w:top w:val="none" w:sz="0" w:space="0" w:color="auto"/>
        <w:left w:val="none" w:sz="0" w:space="0" w:color="auto"/>
        <w:bottom w:val="none" w:sz="0" w:space="0" w:color="auto"/>
        <w:right w:val="none" w:sz="0" w:space="0" w:color="auto"/>
      </w:divBdr>
      <w:divsChild>
        <w:div w:id="2005237257">
          <w:marLeft w:val="0"/>
          <w:marRight w:val="0"/>
          <w:marTop w:val="0"/>
          <w:marBottom w:val="0"/>
          <w:divBdr>
            <w:top w:val="single" w:sz="2" w:space="0" w:color="ECEDEE"/>
            <w:left w:val="single" w:sz="2" w:space="0" w:color="ECEDEE"/>
            <w:bottom w:val="single" w:sz="2" w:space="0" w:color="ECEDEE"/>
            <w:right w:val="single" w:sz="2" w:space="0" w:color="ECEDEE"/>
          </w:divBdr>
          <w:divsChild>
            <w:div w:id="1768117831">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167289839">
      <w:bodyDiv w:val="1"/>
      <w:marLeft w:val="0"/>
      <w:marRight w:val="0"/>
      <w:marTop w:val="0"/>
      <w:marBottom w:val="0"/>
      <w:divBdr>
        <w:top w:val="none" w:sz="0" w:space="0" w:color="auto"/>
        <w:left w:val="none" w:sz="0" w:space="0" w:color="auto"/>
        <w:bottom w:val="none" w:sz="0" w:space="0" w:color="auto"/>
        <w:right w:val="none" w:sz="0" w:space="0" w:color="auto"/>
      </w:divBdr>
      <w:divsChild>
        <w:div w:id="2040272419">
          <w:marLeft w:val="0"/>
          <w:marRight w:val="0"/>
          <w:marTop w:val="0"/>
          <w:marBottom w:val="0"/>
          <w:divBdr>
            <w:top w:val="single" w:sz="6" w:space="0" w:color="AAAAAA"/>
            <w:left w:val="single" w:sz="6" w:space="0" w:color="AAAAAA"/>
            <w:bottom w:val="single" w:sz="6" w:space="0" w:color="AAAAAA"/>
            <w:right w:val="single" w:sz="6" w:space="0" w:color="AAAAAA"/>
          </w:divBdr>
          <w:divsChild>
            <w:div w:id="1284190608">
              <w:marLeft w:val="-150"/>
              <w:marRight w:val="-150"/>
              <w:marTop w:val="0"/>
              <w:marBottom w:val="0"/>
              <w:divBdr>
                <w:top w:val="none" w:sz="0" w:space="0" w:color="auto"/>
                <w:left w:val="none" w:sz="0" w:space="0" w:color="auto"/>
                <w:bottom w:val="none" w:sz="0" w:space="0" w:color="auto"/>
                <w:right w:val="none" w:sz="0" w:space="0" w:color="auto"/>
              </w:divBdr>
              <w:divsChild>
                <w:div w:id="1933120268">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277254559">
      <w:bodyDiv w:val="1"/>
      <w:marLeft w:val="0"/>
      <w:marRight w:val="0"/>
      <w:marTop w:val="0"/>
      <w:marBottom w:val="0"/>
      <w:divBdr>
        <w:top w:val="none" w:sz="0" w:space="0" w:color="auto"/>
        <w:left w:val="none" w:sz="0" w:space="0" w:color="auto"/>
        <w:bottom w:val="none" w:sz="0" w:space="0" w:color="auto"/>
        <w:right w:val="none" w:sz="0" w:space="0" w:color="auto"/>
      </w:divBdr>
      <w:divsChild>
        <w:div w:id="14355431">
          <w:marLeft w:val="0"/>
          <w:marRight w:val="0"/>
          <w:marTop w:val="0"/>
          <w:marBottom w:val="0"/>
          <w:divBdr>
            <w:top w:val="single" w:sz="6" w:space="0" w:color="AAAAAA"/>
            <w:left w:val="single" w:sz="6" w:space="0" w:color="AAAAAA"/>
            <w:bottom w:val="single" w:sz="6" w:space="0" w:color="AAAAAA"/>
            <w:right w:val="single" w:sz="6" w:space="0" w:color="AAAAAA"/>
          </w:divBdr>
          <w:divsChild>
            <w:div w:id="87627831">
              <w:marLeft w:val="-150"/>
              <w:marRight w:val="-150"/>
              <w:marTop w:val="0"/>
              <w:marBottom w:val="0"/>
              <w:divBdr>
                <w:top w:val="none" w:sz="0" w:space="0" w:color="auto"/>
                <w:left w:val="none" w:sz="0" w:space="0" w:color="auto"/>
                <w:bottom w:val="none" w:sz="0" w:space="0" w:color="auto"/>
                <w:right w:val="none" w:sz="0" w:space="0" w:color="auto"/>
              </w:divBdr>
              <w:divsChild>
                <w:div w:id="1055352539">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515995312">
      <w:bodyDiv w:val="1"/>
      <w:marLeft w:val="0"/>
      <w:marRight w:val="0"/>
      <w:marTop w:val="0"/>
      <w:marBottom w:val="0"/>
      <w:divBdr>
        <w:top w:val="none" w:sz="0" w:space="0" w:color="auto"/>
        <w:left w:val="none" w:sz="0" w:space="0" w:color="auto"/>
        <w:bottom w:val="none" w:sz="0" w:space="0" w:color="auto"/>
        <w:right w:val="none" w:sz="0" w:space="0" w:color="auto"/>
      </w:divBdr>
      <w:divsChild>
        <w:div w:id="1410417945">
          <w:marLeft w:val="0"/>
          <w:marRight w:val="0"/>
          <w:marTop w:val="0"/>
          <w:marBottom w:val="0"/>
          <w:divBdr>
            <w:top w:val="single" w:sz="2" w:space="0" w:color="ECEDEE"/>
            <w:left w:val="single" w:sz="2" w:space="0" w:color="ECEDEE"/>
            <w:bottom w:val="single" w:sz="2" w:space="0" w:color="ECEDEE"/>
            <w:right w:val="single" w:sz="2" w:space="0" w:color="ECEDEE"/>
          </w:divBdr>
          <w:divsChild>
            <w:div w:id="1322268248">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799883199">
      <w:bodyDiv w:val="1"/>
      <w:marLeft w:val="0"/>
      <w:marRight w:val="0"/>
      <w:marTop w:val="0"/>
      <w:marBottom w:val="0"/>
      <w:divBdr>
        <w:top w:val="none" w:sz="0" w:space="0" w:color="auto"/>
        <w:left w:val="none" w:sz="0" w:space="0" w:color="auto"/>
        <w:bottom w:val="none" w:sz="0" w:space="0" w:color="auto"/>
        <w:right w:val="none" w:sz="0" w:space="0" w:color="auto"/>
      </w:divBdr>
      <w:divsChild>
        <w:div w:id="1415131821">
          <w:marLeft w:val="0"/>
          <w:marRight w:val="0"/>
          <w:marTop w:val="0"/>
          <w:marBottom w:val="0"/>
          <w:divBdr>
            <w:top w:val="single" w:sz="6" w:space="0" w:color="AAAAAA"/>
            <w:left w:val="single" w:sz="6" w:space="0" w:color="AAAAAA"/>
            <w:bottom w:val="single" w:sz="6" w:space="0" w:color="AAAAAA"/>
            <w:right w:val="single" w:sz="6" w:space="0" w:color="AAAAAA"/>
          </w:divBdr>
          <w:divsChild>
            <w:div w:id="412778153">
              <w:marLeft w:val="-150"/>
              <w:marRight w:val="-150"/>
              <w:marTop w:val="0"/>
              <w:marBottom w:val="0"/>
              <w:divBdr>
                <w:top w:val="none" w:sz="0" w:space="0" w:color="auto"/>
                <w:left w:val="none" w:sz="0" w:space="0" w:color="auto"/>
                <w:bottom w:val="none" w:sz="0" w:space="0" w:color="auto"/>
                <w:right w:val="none" w:sz="0" w:space="0" w:color="auto"/>
              </w:divBdr>
              <w:divsChild>
                <w:div w:id="74088060">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816334818">
      <w:bodyDiv w:val="1"/>
      <w:marLeft w:val="0"/>
      <w:marRight w:val="0"/>
      <w:marTop w:val="0"/>
      <w:marBottom w:val="0"/>
      <w:divBdr>
        <w:top w:val="none" w:sz="0" w:space="0" w:color="auto"/>
        <w:left w:val="none" w:sz="0" w:space="0" w:color="auto"/>
        <w:bottom w:val="none" w:sz="0" w:space="0" w:color="auto"/>
        <w:right w:val="none" w:sz="0" w:space="0" w:color="auto"/>
      </w:divBdr>
      <w:divsChild>
        <w:div w:id="611473716">
          <w:marLeft w:val="0"/>
          <w:marRight w:val="0"/>
          <w:marTop w:val="0"/>
          <w:marBottom w:val="0"/>
          <w:divBdr>
            <w:top w:val="single" w:sz="6" w:space="0" w:color="AAAAAA"/>
            <w:left w:val="single" w:sz="6" w:space="0" w:color="AAAAAA"/>
            <w:bottom w:val="single" w:sz="6" w:space="0" w:color="AAAAAA"/>
            <w:right w:val="single" w:sz="6" w:space="0" w:color="AAAAAA"/>
          </w:divBdr>
          <w:divsChild>
            <w:div w:id="1203447078">
              <w:marLeft w:val="-150"/>
              <w:marRight w:val="-150"/>
              <w:marTop w:val="0"/>
              <w:marBottom w:val="0"/>
              <w:divBdr>
                <w:top w:val="none" w:sz="0" w:space="0" w:color="auto"/>
                <w:left w:val="none" w:sz="0" w:space="0" w:color="auto"/>
                <w:bottom w:val="none" w:sz="0" w:space="0" w:color="auto"/>
                <w:right w:val="none" w:sz="0" w:space="0" w:color="auto"/>
              </w:divBdr>
              <w:divsChild>
                <w:div w:id="2009627218">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855849836">
      <w:bodyDiv w:val="1"/>
      <w:marLeft w:val="0"/>
      <w:marRight w:val="0"/>
      <w:marTop w:val="0"/>
      <w:marBottom w:val="0"/>
      <w:divBdr>
        <w:top w:val="none" w:sz="0" w:space="0" w:color="auto"/>
        <w:left w:val="none" w:sz="0" w:space="0" w:color="auto"/>
        <w:bottom w:val="none" w:sz="0" w:space="0" w:color="auto"/>
        <w:right w:val="none" w:sz="0" w:space="0" w:color="auto"/>
      </w:divBdr>
      <w:divsChild>
        <w:div w:id="693963702">
          <w:marLeft w:val="0"/>
          <w:marRight w:val="0"/>
          <w:marTop w:val="0"/>
          <w:marBottom w:val="0"/>
          <w:divBdr>
            <w:top w:val="single" w:sz="6" w:space="0" w:color="AAAAAA"/>
            <w:left w:val="single" w:sz="6" w:space="0" w:color="AAAAAA"/>
            <w:bottom w:val="single" w:sz="6" w:space="0" w:color="AAAAAA"/>
            <w:right w:val="single" w:sz="6" w:space="0" w:color="AAAAAA"/>
          </w:divBdr>
          <w:divsChild>
            <w:div w:id="921795717">
              <w:marLeft w:val="-150"/>
              <w:marRight w:val="-150"/>
              <w:marTop w:val="0"/>
              <w:marBottom w:val="0"/>
              <w:divBdr>
                <w:top w:val="none" w:sz="0" w:space="0" w:color="auto"/>
                <w:left w:val="none" w:sz="0" w:space="0" w:color="auto"/>
                <w:bottom w:val="none" w:sz="0" w:space="0" w:color="auto"/>
                <w:right w:val="none" w:sz="0" w:space="0" w:color="auto"/>
              </w:divBdr>
              <w:divsChild>
                <w:div w:id="75710420">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857570995">
      <w:bodyDiv w:val="1"/>
      <w:marLeft w:val="0"/>
      <w:marRight w:val="0"/>
      <w:marTop w:val="0"/>
      <w:marBottom w:val="0"/>
      <w:divBdr>
        <w:top w:val="none" w:sz="0" w:space="0" w:color="auto"/>
        <w:left w:val="none" w:sz="0" w:space="0" w:color="auto"/>
        <w:bottom w:val="none" w:sz="0" w:space="0" w:color="auto"/>
        <w:right w:val="none" w:sz="0" w:space="0" w:color="auto"/>
      </w:divBdr>
      <w:divsChild>
        <w:div w:id="1378817442">
          <w:marLeft w:val="0"/>
          <w:marRight w:val="0"/>
          <w:marTop w:val="0"/>
          <w:marBottom w:val="0"/>
          <w:divBdr>
            <w:top w:val="single" w:sz="6" w:space="0" w:color="AAAAAA"/>
            <w:left w:val="single" w:sz="6" w:space="0" w:color="AAAAAA"/>
            <w:bottom w:val="single" w:sz="6" w:space="0" w:color="AAAAAA"/>
            <w:right w:val="single" w:sz="6" w:space="0" w:color="AAAAAA"/>
          </w:divBdr>
          <w:divsChild>
            <w:div w:id="1437096548">
              <w:marLeft w:val="-150"/>
              <w:marRight w:val="-150"/>
              <w:marTop w:val="0"/>
              <w:marBottom w:val="0"/>
              <w:divBdr>
                <w:top w:val="none" w:sz="0" w:space="0" w:color="auto"/>
                <w:left w:val="none" w:sz="0" w:space="0" w:color="auto"/>
                <w:bottom w:val="none" w:sz="0" w:space="0" w:color="auto"/>
                <w:right w:val="none" w:sz="0" w:space="0" w:color="auto"/>
              </w:divBdr>
              <w:divsChild>
                <w:div w:id="1447196689">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2078429458">
      <w:bodyDiv w:val="1"/>
      <w:marLeft w:val="0"/>
      <w:marRight w:val="0"/>
      <w:marTop w:val="0"/>
      <w:marBottom w:val="0"/>
      <w:divBdr>
        <w:top w:val="none" w:sz="0" w:space="0" w:color="auto"/>
        <w:left w:val="none" w:sz="0" w:space="0" w:color="auto"/>
        <w:bottom w:val="none" w:sz="0" w:space="0" w:color="auto"/>
        <w:right w:val="none" w:sz="0" w:space="0" w:color="auto"/>
      </w:divBdr>
      <w:divsChild>
        <w:div w:id="702899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bspro.2012.06.310" TargetMode="External"/><Relationship Id="rId18" Type="http://schemas.openxmlformats.org/officeDocument/2006/relationships/hyperlink" Target="https://doi.org/10.1080/0268051950100207" TargetMode="External"/><Relationship Id="rId26" Type="http://schemas.openxmlformats.org/officeDocument/2006/relationships/hyperlink" Target="https://doi.org/10.1016/s1096-7516(00)00029-4" TargetMode="External"/><Relationship Id="rId3" Type="http://schemas.openxmlformats.org/officeDocument/2006/relationships/styles" Target="styles.xml"/><Relationship Id="rId21" Type="http://schemas.openxmlformats.org/officeDocument/2006/relationships/hyperlink" Target="http://www.jstor.org/stable/jeductechsoci.16.2.3"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b978-0-12-813467-2.00063-8" TargetMode="External"/><Relationship Id="rId17" Type="http://schemas.openxmlformats.org/officeDocument/2006/relationships/hyperlink" Target="https://doi.org/10.1016/j.compedu.2009.08.012" TargetMode="External"/><Relationship Id="rId25" Type="http://schemas.openxmlformats.org/officeDocument/2006/relationships/hyperlink" Target="https://doi.org/10.1016/j.compedu.2019.03.006"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86/s41239-017-0042-5" TargetMode="External"/><Relationship Id="rId20" Type="http://schemas.openxmlformats.org/officeDocument/2006/relationships/hyperlink" Target="https://doi.org/10.4018/jicte.20111001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swa.2005.07.029" TargetMode="External"/><Relationship Id="rId24" Type="http://schemas.openxmlformats.org/officeDocument/2006/relationships/hyperlink" Target="https://doi.org/10.1016/j.compedu.2014.07.01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353/lib.2017.0020" TargetMode="External"/><Relationship Id="rId23" Type="http://schemas.openxmlformats.org/officeDocument/2006/relationships/hyperlink" Target="https://doi.org/10.13189/ujer.2020.082248" TargetMode="External"/><Relationship Id="rId28" Type="http://schemas.openxmlformats.org/officeDocument/2006/relationships/hyperlink" Target="https://doi.org/10.1016/j.compedu.2009.12.012" TargetMode="External"/><Relationship Id="rId36" Type="http://schemas.openxmlformats.org/officeDocument/2006/relationships/theme" Target="theme/theme1.xml"/><Relationship Id="rId10" Type="http://schemas.openxmlformats.org/officeDocument/2006/relationships/hyperlink" Target="https://doi.org/10.17220/mojet.2018.04.004" TargetMode="External"/><Relationship Id="rId19" Type="http://schemas.openxmlformats.org/officeDocument/2006/relationships/hyperlink" Target="https://doi.org/10.19173/irrodl.v17i1.216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stor.org/stable/23044310" TargetMode="External"/><Relationship Id="rId14" Type="http://schemas.openxmlformats.org/officeDocument/2006/relationships/hyperlink" Target="https://doi.org/10.3390/app11094111" TargetMode="External"/><Relationship Id="rId22" Type="http://schemas.openxmlformats.org/officeDocument/2006/relationships/hyperlink" Target="http://www.jstor.org/stable/24716714" TargetMode="External"/><Relationship Id="rId27" Type="http://schemas.openxmlformats.org/officeDocument/2006/relationships/hyperlink" Target="https://doi.org/10.1016/j.compedu.2019.10369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9173/irrodl.v14i4.1505"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doi.org/10.62843/jefr/2023.5109910" TargetMode="External"/><Relationship Id="rId1" Type="http://schemas.openxmlformats.org/officeDocument/2006/relationships/hyperlink" Target="mailto:ghulammuhammad@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474C5-F10B-4AC6-8900-0D8094BE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6818</Words>
  <Characters>38866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Saqib Jalal</dc:creator>
  <cp:keywords/>
  <dc:description/>
  <cp:lastModifiedBy>Syed Saqib Jalal</cp:lastModifiedBy>
  <cp:revision>35</cp:revision>
  <cp:lastPrinted>2024-02-24T07:47:00Z</cp:lastPrinted>
  <dcterms:created xsi:type="dcterms:W3CDTF">2024-02-24T10:50:00Z</dcterms:created>
  <dcterms:modified xsi:type="dcterms:W3CDTF">2024-04-06T07:04:00Z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134c653d6ac80692d7941bb8cb02370bbaa56cf0bf0070324b7371adcafcf2d7</vt:lpwstr>
  </property>
</Properties>
</file>